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1980" w:right="620" w:hanging="777"/>
        <w:spacing w:after="0" w:line="235" w:lineRule="auto"/>
        <w:tabs>
          <w:tab w:leader="none" w:pos="19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August 27, 2022</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3" w:lineRule="exact"/>
        <w:rPr>
          <w:sz w:val="24"/>
          <w:szCs w:val="24"/>
          <w:color w:val="auto"/>
        </w:rPr>
      </w:pPr>
    </w:p>
    <w:p>
      <w:pPr>
        <w:ind w:left="1980" w:right="620" w:hanging="777"/>
        <w:spacing w:after="0" w:line="235" w:lineRule="auto"/>
        <w:tabs>
          <w:tab w:leader="none" w:pos="19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1019" w:right="339" w:bottom="218" w:gutter="0" w:footer="0" w:header="0"/>
        </w:sectPr>
      </w:pPr>
    </w:p>
    <w:p>
      <w:pPr>
        <w:spacing w:after="0" w:line="16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38" w:orient="portrait"/>
          <w:cols w:equalWidth="0" w:num="2">
            <w:col w:w="8100" w:space="720"/>
            <w:col w:w="2420"/>
          </w:cols>
          <w:pgMar w:left="320" w:top="1019" w:right="339" w:bottom="218" w:gutter="0" w:footer="0" w:header="0"/>
          <w:type w:val="continuous"/>
        </w:sectPr>
      </w:pPr>
    </w:p>
    <w:tbl>
      <w:tblPr>
        <w:tblLayout w:type="fixed"/>
        <w:tblInd w:w="860" w:type="dxa"/>
        <w:tblCellMar>
          <w:top w:w="0" w:type="dxa"/>
          <w:left w:w="0" w:type="dxa"/>
          <w:bottom w:w="0" w:type="dxa"/>
          <w:right w:w="0" w:type="dxa"/>
        </w:tblCellMar>
      </w:tblPr>
      <w:tr>
        <w:trPr>
          <w:trHeight w:val="184"/>
        </w:trPr>
        <w:tc>
          <w:tcPr>
            <w:tcW w:w="4580" w:type="dxa"/>
            <w:vAlign w:val="bottom"/>
          </w:tcPr>
          <w:p>
            <w:pPr>
              <w:jc w:val="center"/>
              <w:ind w:right="2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0" w:type="dxa"/>
            <w:vAlign w:val="bottom"/>
            <w:vMerge w:val="restart"/>
          </w:tcPr>
          <w:p>
            <w:pPr>
              <w:ind w:left="264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580" w:type="dxa"/>
            <w:vAlign w:val="bottom"/>
            <w:vMerge w:val="restart"/>
          </w:tcPr>
          <w:p>
            <w:pPr>
              <w:jc w:val="center"/>
              <w:ind w:right="25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10"/>
        </w:trPr>
        <w:tc>
          <w:tcPr>
            <w:tcW w:w="3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r>
        <w:trPr>
          <w:trHeight w:val="204"/>
        </w:trPr>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4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9" w:right="339" w:bottom="218" w:gutter="0" w:footer="0" w:header="0"/>
          <w:type w:val="continuous"/>
        </w:sectPr>
      </w:pPr>
    </w:p>
    <w:p>
      <w:pPr>
        <w:spacing w:after="0" w:line="14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76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p>
      <w:pPr>
        <w:spacing w:after="0" w:line="6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3">
            <w:col w:w="4820" w:space="100"/>
            <w:col w:w="160" w:space="680"/>
            <w:col w:w="5480"/>
          </w:cols>
          <w:pgMar w:left="320" w:top="1019" w:right="339" w:bottom="218" w:gutter="0" w:footer="0" w:header="0"/>
          <w:type w:val="continuous"/>
        </w:sectPr>
      </w:pPr>
    </w:p>
    <w:bookmarkStart w:id="1" w:name="page2"/>
    <w:bookmarkEnd w:id="1"/>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February 25, 2022, the last trading day of the registrant’s most recently completed second fiscal quarter was approximately $3.3 billion based on the closing price of $38.99 for one share of common stock, as reported on the Nasdaq Capital Market on that date.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17, 2022, there were 98,993,701 shares of common stock, par value $0.01 per share, issued and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ind w:firstLine="224"/>
        <w:spacing w:after="0" w:line="235" w:lineRule="exact"/>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2023 annual meeting of stockholders, to be filed within 120 days after the end of fiscal year ended August 27, 2022, are incorporated by reference into Part III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9B</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SIGNATURES</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2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1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1"/>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780" w:type="dxa"/>
            <w:vAlign w:val="bottom"/>
            <w:gridSpan w:val="15"/>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0" w:type="dxa"/>
            <w:vAlign w:val="bottom"/>
            <w:gridSpan w:val="9"/>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0"/>
                <w:szCs w:val="20"/>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160" w:type="dxa"/>
            <w:vAlign w:val="bottom"/>
            <w:gridSpan w:val="1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880" w:type="dxa"/>
            <w:vAlign w:val="bottom"/>
            <w:gridSpan w:val="21"/>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412"/>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1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155"/>
        </w:trPr>
        <w:tc>
          <w:tcPr>
            <w:tcW w:w="732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Securities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80" w:type="dxa"/>
            <w:vAlign w:val="bottom"/>
            <w:gridSpan w:val="23"/>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0"/>
                <w:szCs w:val="20"/>
                <w:color w:val="auto"/>
              </w:rPr>
            </w:pP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840" w:type="dxa"/>
            <w:vAlign w:val="bottom"/>
            <w:gridSpan w:val="6"/>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0"/>
                <w:szCs w:val="20"/>
                <w:color w:val="auto"/>
              </w:rPr>
            </w:pPr>
          </w:p>
        </w:tc>
        <w:tc>
          <w:tcPr>
            <w:tcW w:w="6440" w:type="dxa"/>
            <w:vAlign w:val="bottom"/>
            <w:gridSpan w:val="19"/>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300" w:type="dxa"/>
            <w:vAlign w:val="bottom"/>
            <w:gridSpan w:val="5"/>
          </w:tcPr>
          <w:p>
            <w:pPr>
              <w:spacing w:after="0"/>
              <w:rPr>
                <w:sz w:val="21"/>
                <w:szCs w:val="21"/>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82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11"/>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gridSpan w:val="2"/>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760" w:type="dxa"/>
            <w:vAlign w:val="bottom"/>
            <w:gridSpan w:val="4"/>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3"/>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200" w:type="dxa"/>
            <w:vAlign w:val="bottom"/>
            <w:gridSpan w:val="3"/>
          </w:tcPr>
          <w:p>
            <w:pPr>
              <w:spacing w:after="0"/>
              <w:rPr>
                <w:sz w:val="20"/>
                <w:szCs w:val="20"/>
                <w:color w:val="auto"/>
              </w:rPr>
            </w:pPr>
          </w:p>
        </w:tc>
        <w:tc>
          <w:tcPr>
            <w:tcW w:w="720" w:type="dxa"/>
            <w:vAlign w:val="bottom"/>
            <w:tcBorders>
              <w:top w:val="single" w:sz="8" w:color="0000FF"/>
            </w:tcBorders>
            <w:gridSpan w:val="5"/>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040" w:type="dxa"/>
            <w:vAlign w:val="bottom"/>
            <w:gridSpan w:val="1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40" w:type="dxa"/>
            <w:vAlign w:val="bottom"/>
            <w:gridSpan w:val="15"/>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00" w:space="180"/>
            <w:col w:w="8580"/>
          </w:cols>
          <w:pgMar w:left="960" w:top="927"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56" w:lineRule="exact"/>
        <w:rPr>
          <w:sz w:val="20"/>
          <w:szCs w:val="20"/>
          <w:color w:val="auto"/>
        </w:rPr>
      </w:pPr>
    </w:p>
    <w:p>
      <w:pPr>
        <w:jc w:val="both"/>
        <w:ind w:firstLine="246"/>
        <w:spacing w:after="0" w:line="251" w:lineRule="auto"/>
        <w:rPr>
          <w:sz w:val="20"/>
          <w:szCs w:val="20"/>
          <w:color w:val="auto"/>
        </w:rPr>
      </w:pPr>
      <w:r>
        <w:rPr>
          <w:rFonts w:ascii="Times New Roman" w:cs="Times New Roman" w:eastAsia="Times New Roman" w:hAnsi="Times New Roman"/>
          <w:sz w:val="18"/>
          <w:szCs w:val="18"/>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forward-looking statements include, among other things, statements regarding our operations being dependent on a global supply chain and effects of supply chain constraints and inflationary pressure on us and our contract manufacturers, our ability to continue to operate at a profit or to maintain our margins, the effect of the novel coronavirus (“COVID-19”) on our business, financial condition and results of operations,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increasing ingredient and packaging costs and labor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changes in consumer preferences and purchasing habits,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except as required by applicable law, and readers should not rely on the forward-looking statements as representing the Company’s views as of any date subsequent to the date of the filing of this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253"/>
        <w:spacing w:after="0" w:line="266"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on March 30, 2017, to consummate a business combination (the “Business Combination”) between Conyers Park Acquisition Corp. (“Conyers Park”) and NCP-ATK Holdings, Inc. (“Atkins”), which occurred on July 7, 2017. As a result, Simply Good Foods owns all of the equity in Atkins.</w:t>
      </w:r>
    </w:p>
    <w:p>
      <w:pPr>
        <w:spacing w:after="0" w:line="203" w:lineRule="exact"/>
        <w:rPr>
          <w:sz w:val="20"/>
          <w:szCs w:val="20"/>
          <w:color w:val="auto"/>
        </w:rPr>
      </w:pPr>
    </w:p>
    <w:p>
      <w:pPr>
        <w:jc w:val="both"/>
        <w:ind w:firstLine="316"/>
        <w:spacing w:after="0" w:line="266" w:lineRule="auto"/>
        <w:rPr>
          <w:sz w:val="20"/>
          <w:szCs w:val="20"/>
          <w:color w:val="auto"/>
        </w:rPr>
      </w:pPr>
      <w:r>
        <w:rPr>
          <w:rFonts w:ascii="Times New Roman" w:cs="Times New Roman" w:eastAsia="Times New Roman" w:hAnsi="Times New Roman"/>
          <w:sz w:val="18"/>
          <w:szCs w:val="18"/>
          <w:color w:val="auto"/>
        </w:rPr>
        <w:t>Conyers Park, a special purpose acquisition company, was formed in 2016 for the purpose of effecting a merger, capital stock exchange, asset acquisition, stock purchase, reorganization or similar business combination with one or more businesses. Simply Good Foods is listed on the Nasdaq Capital Market under the symbol “SMPL.”</w:t>
      </w:r>
    </w:p>
    <w:p>
      <w:pPr>
        <w:spacing w:after="0" w:line="203"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As part of Simply Good Foods’ strategy to become an industry leading snacking platform, in November 2019, it acquired Quest Nutrition, LLC (“Quest”). This transaction is referred to as the “Quest Acquisition.”</w:t>
      </w:r>
    </w:p>
    <w:p>
      <w:pPr>
        <w:spacing w:after="0" w:line="189" w:lineRule="exact"/>
        <w:rPr>
          <w:sz w:val="20"/>
          <w:szCs w:val="20"/>
          <w:color w:val="auto"/>
        </w:rPr>
      </w:pPr>
    </w:p>
    <w:p>
      <w:pPr>
        <w:jc w:val="both"/>
        <w:ind w:firstLine="201"/>
        <w:spacing w:after="0" w:line="242" w:lineRule="auto"/>
        <w:rPr>
          <w:sz w:val="20"/>
          <w:szCs w:val="20"/>
          <w:color w:val="auto"/>
        </w:rPr>
      </w:pPr>
      <w:r>
        <w:rPr>
          <w:rFonts w:ascii="Times New Roman" w:cs="Times New Roman" w:eastAsia="Times New Roman" w:hAnsi="Times New Roman"/>
          <w:sz w:val="18"/>
          <w:szCs w:val="18"/>
          <w:color w:val="auto"/>
        </w:rPr>
        <w:t>Effective September 24, 2020, Simply Good Foods sold the assets exclusively related to its SimplyProtein® brand of products to a newly formed entity led by the former Canadian-based management team who had been responsible for this brand prior to the sale transaction (the “SimplyProtein Sale”). In addition to purchasing these assets, the buyer assumed certain liabilities related to the SimplyProtein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business. The transaction enables our management to focus its full time and our resources on our core Atkins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Quest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businesses and other strategic initiatives.</w:t>
      </w:r>
    </w:p>
    <w:p>
      <w:pPr>
        <w:spacing w:after="0" w:line="156"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18"/>
          <w:szCs w:val="18"/>
          <w:color w:val="auto"/>
        </w:rPr>
        <w:t>Unless the context otherwise requires, “we,” “us,” “our” and the “Company” refer to the following: (i) for periods prior to the completion of the Business Combination, to Atkins and its subsidiaries, (ii) for periods upon or after the completion of the Business Combination, to The Simply Good Foods Company and its subsidiaries, excluding Quest, and (iii) for periods after completion of the Quest Acquisition, The Simply Good Foods Company and its subsidiaries, including Quest. In context, “Atkins” may also refer to the Atkins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“Quest” may also refer to the Quest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251"/>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global supply chain and effects of supply chain constraints and inflationary pressure on us or our suppliers.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prices or fail to implement our growth strategies successfully.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such as the novel coronavirus (“COVID-19”), which may disrupt our business, including, among other things, consumption and trade patterns, our supply chain and production processes.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in the highly competitive nutritional snacking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habits, perceptions and discretionary spending, which may negatively affect our brand loyalty and net sales.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continually enhance our brand recognition, increase distribution of our products, grow and maintain shelf space, attract new consumers to our brands and introduce new and innovative products, either on a timely basis or at all.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brands or organizational reputation are damaged, including as a result of negative information on social media.</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must expend resources to maintain consumer awareness of our brands, build brand loyalty and generate interest in our products and the evolution of our marketing strategies and channels, and our programs may not be successful.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focus, which makes us particularly vulnerable to economic and other events and trends in North America.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Model</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and packaging costs are volatile and may rise significantly.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sales to a limited number of retailers for a substantial portion of our net sales and we maintain “at will” contracts with these retailers, which do not require recurring or minimum purchase amounts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 disruption of and lack of efficiency in our fulfillment network.</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interruptions in the supply or delivery of our core ingredients, equipment, packaging and products as we rely on a limited number of third-party suppliers to supply our core ingredients and a limited number of contract manufacturers to manufacture our products.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natural disasters, government regulations related to climate change, the effects of climate change and geopolitical events,which can all affect crop supplies and supply chain infrastructure.</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through mergers, acquisitions or joint ventures, and we may not successfully integrate, operate or realize the anticipated benefits of such business combinations.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may not provide adequate levels of coverage against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executive officers or other personnel, or an inability to attract and retain such management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material intellectual property and other proprietary rights.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Litigation Risks</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products must comply with regulations of the U.S. Food and Drug Administration and state and local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is regulated for accuracy, and if our advertising is determined to be false or misleading, we may face fines or sanctions.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and regulatory environment could limit our business activities, increase our operating costs, reduce demand for our products or result in litigation.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and have a negative effect on our reputation.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Structure</w:t>
      </w:r>
    </w:p>
    <w:p>
      <w:pPr>
        <w:spacing w:after="0" w:line="256"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and adversely affect our financial condition and ability to operate our company, and we may incur additional debt.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adversely affect our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in the future, and it may not be available on acceptable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costs because of operating as a public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appropriate systems, procedures and controls, we may not be able to successfully procure, offer or ship our products, grow our business, account for transactions, accurately report our financial results in an appropriate and timely manner or prevent fraud.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past restatement of certain of our financial statements subjected us to additional risks.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ownership of 100% of Atkins Intermediate Holdings, LLC which could limit our ability to pay any dividends on our common stock or satisfy our other financial obligations.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declare any dividends in the foreseeable future.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contains anti-takeover provisions which could impair a takeover attempt.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may be affected by future sales of common stock or other dilution.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w:t>
      </w:r>
    </w:p>
    <w:p>
      <w:pPr>
        <w:spacing w:after="0" w:line="25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risks associated with our international operations and exposure to the worldwide economy.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excludes certain of our Board members from the doctrine of “corporate opportunity.”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189"/>
        <w:spacing w:after="0" w:line="241"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Simply Good Foods is poised to expand its wellness platform through innovation and organic growth along with acquisition opportunities in the nutritional snacking space.</w:t>
      </w:r>
    </w:p>
    <w:p>
      <w:pPr>
        <w:spacing w:after="0" w:line="226" w:lineRule="exact"/>
        <w:rPr>
          <w:sz w:val="20"/>
          <w:szCs w:val="20"/>
          <w:color w:val="auto"/>
        </w:rPr>
      </w:pPr>
    </w:p>
    <w:p>
      <w:pPr>
        <w:jc w:val="both"/>
        <w:ind w:firstLine="285"/>
        <w:spacing w:after="0" w:line="256"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or seeking to lose weight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4" w:lineRule="exact"/>
        <w:rPr>
          <w:sz w:val="20"/>
          <w:szCs w:val="20"/>
          <w:color w:val="auto"/>
        </w:rPr>
      </w:pPr>
    </w:p>
    <w:p>
      <w:pPr>
        <w:jc w:val="both"/>
        <w:ind w:firstLine="249"/>
        <w:spacing w:after="0" w:line="255" w:lineRule="auto"/>
        <w:rPr>
          <w:sz w:val="20"/>
          <w:szCs w:val="20"/>
          <w:color w:val="auto"/>
        </w:rPr>
      </w:pPr>
      <w:r>
        <w:rPr>
          <w:rFonts w:ascii="Times New Roman" w:cs="Times New Roman" w:eastAsia="Times New Roman" w:hAnsi="Times New Roman"/>
          <w:sz w:val="18"/>
          <w:szCs w:val="18"/>
          <w:color w:val="auto"/>
        </w:rPr>
        <w:t>We believe snacking occasions have been on the rise in recent years as consumers continue to desire more convenient, healthy and delicious foods, snacks, and meal replacements. We believe our emphasis on product formats such as our protein bars, cookies, chips and salty snacks, and RTD shakes positions us to fill important needs for consumers. We believe a number of existing and emerging consumer trends within the U.S. food and beverage industry will continue to both drive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consumers’ movement toward limiting carbohydrate and sugar consumption, and the trend of consumers seeking to add convenient sources of protein and fiber to their diets.</w:t>
      </w:r>
    </w:p>
    <w:p>
      <w:pPr>
        <w:spacing w:after="0" w:line="216" w:lineRule="exact"/>
        <w:rPr>
          <w:sz w:val="20"/>
          <w:szCs w:val="20"/>
          <w:color w:val="auto"/>
        </w:rPr>
      </w:pPr>
    </w:p>
    <w:p>
      <w:pPr>
        <w:jc w:val="both"/>
        <w:ind w:firstLine="221"/>
        <w:spacing w:after="0" w:line="258" w:lineRule="auto"/>
        <w:rPr>
          <w:sz w:val="20"/>
          <w:szCs w:val="20"/>
          <w:color w:val="auto"/>
        </w:rPr>
      </w:pPr>
      <w:r>
        <w:rPr>
          <w:rFonts w:ascii="Times New Roman" w:cs="Times New Roman" w:eastAsia="Times New Roman" w:hAnsi="Times New Roman"/>
          <w:sz w:val="18"/>
          <w:szCs w:val="18"/>
          <w:color w:val="auto"/>
        </w:rPr>
        <w:t>With our Atkins brand, we strive to offer a compelling line of protein bars, RTD shakes, cookies, protein chips and salty snacks, and confections, and with our Quest brand, we strive to offer an attractive line up of protein bars, cookies, protein chips and salty snacks, RTD shakes, and confections, which target these existing and emerging consumer trends. Our sales, marketing, and research and development capabilities enable us to distribute products to a national customer base across a spectrum of retail channels, including the mass merchandise, grocery, drug, club stores, e-commerce, and small format retail such as convenience stores and gas stations.</w:t>
      </w:r>
    </w:p>
    <w:p>
      <w:pPr>
        <w:spacing w:after="0" w:line="210" w:lineRule="exact"/>
        <w:rPr>
          <w:sz w:val="20"/>
          <w:szCs w:val="20"/>
          <w:color w:val="auto"/>
        </w:rPr>
      </w:pPr>
    </w:p>
    <w:p>
      <w:pPr>
        <w:jc w:val="both"/>
        <w:ind w:right="20" w:firstLine="192"/>
        <w:spacing w:after="0" w:line="282" w:lineRule="auto"/>
        <w:rPr>
          <w:sz w:val="20"/>
          <w:szCs w:val="20"/>
          <w:color w:val="auto"/>
        </w:rPr>
      </w:pPr>
      <w:r>
        <w:rPr>
          <w:rFonts w:ascii="Times New Roman" w:cs="Times New Roman" w:eastAsia="Times New Roman" w:hAnsi="Times New Roman"/>
          <w:sz w:val="18"/>
          <w:szCs w:val="18"/>
          <w:color w:val="auto"/>
        </w:rPr>
        <w:t>Simply Good Foods was formed in Delaware on March 30, 2017, to consummate the Business Combination, which occurred on July 7, 2017. As part of our strategy to become an industry leading snacking platform, in November 2019, we acquired Quest Nutrition, LLC.</w:t>
      </w:r>
    </w:p>
    <w:p>
      <w:pPr>
        <w:spacing w:after="0" w:line="189" w:lineRule="exact"/>
        <w:rPr>
          <w:sz w:val="20"/>
          <w:szCs w:val="20"/>
          <w:color w:val="auto"/>
        </w:rPr>
      </w:pPr>
    </w:p>
    <w:p>
      <w:pPr>
        <w:jc w:val="both"/>
        <w:ind w:firstLine="192"/>
        <w:spacing w:after="0" w:line="255" w:lineRule="auto"/>
        <w:rPr>
          <w:sz w:val="20"/>
          <w:szCs w:val="20"/>
          <w:color w:val="auto"/>
        </w:rPr>
      </w:pPr>
      <w:r>
        <w:rPr>
          <w:rFonts w:ascii="Times New Roman" w:cs="Times New Roman" w:eastAsia="Times New Roman" w:hAnsi="Times New Roman"/>
          <w:sz w:val="18"/>
          <w:szCs w:val="18"/>
          <w:color w:val="auto"/>
        </w:rPr>
        <w:t>In addition to pursuing attractive run-rate cost synergies over time by leveraging efficiencies of scale with our legacy Atkins business, we completed the Quest Acquisition with the goal of realizing several other potential benefits. Quest’s products compete in many attractive, fast growing sub-segments within the nutritional snacking category. In addition, Quest’s research and development insights and capabilities have benefited our broader business. Quest has an extremely loyal following and strong appeal among consumers ages 18-35, which complements Atkins’ strength among consumers ages 35+. The Quest Acquisition also allowed us to benefit from Quest’s existing relationships and effectiveness within certain channels of trade, such as e-commerce and the small format channel, and leverage Quest’s social media-based marketing capabilities. Since completion of the Quest Acquisition, we have benefited from utilizing certain of Quest’s systems, such as its enterprise resource planning platform, and associated reporting tools.</w:t>
      </w:r>
    </w:p>
    <w:p>
      <w:pPr>
        <w:spacing w:after="0" w:line="212" w:lineRule="exact"/>
        <w:rPr>
          <w:sz w:val="20"/>
          <w:szCs w:val="20"/>
          <w:color w:val="auto"/>
        </w:rPr>
      </w:pPr>
    </w:p>
    <w:p>
      <w:pPr>
        <w:jc w:val="both"/>
        <w:ind w:firstLine="256"/>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Colorado, 80202. Our telephone number is (303) 633-2840. We maintain a web 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Trends in Fiscal Year 2022</w:t>
      </w:r>
    </w:p>
    <w:p>
      <w:pPr>
        <w:spacing w:after="0" w:line="256"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Throughout fiscal year 2022, our business continued to improve from the end of fiscal year 2021, driven in part by the increasing normalization of consumer mobility and shopper traffic patterns in brick-and-mortar retailers versus prior periods that were more severely pressured by COVID-19 mitigation strategies, including movement restrictions and closures of or reduced access to customer establishments. We expect our business performance during fiscal year 2023 will continue to be affected by the dynamic macroeconomic inflationary environment in the United States and elsewhere, elevated levels of supply chain cost inflation, and the level of consumer mobility, which includes the rate at which consumers return to working outside the home.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212"/>
        <w:spacing w:after="0" w:line="255" w:lineRule="auto"/>
        <w:rPr>
          <w:sz w:val="20"/>
          <w:szCs w:val="20"/>
          <w:color w:val="auto"/>
        </w:rPr>
      </w:pPr>
      <w:r>
        <w:rPr>
          <w:rFonts w:ascii="Times New Roman" w:cs="Times New Roman" w:eastAsia="Times New Roman" w:hAnsi="Times New Roman"/>
          <w:sz w:val="18"/>
          <w:szCs w:val="18"/>
          <w:color w:val="auto"/>
        </w:rPr>
        <w:t>Overall consumer spending, particularly in the United States, continued to recover from the effects of the COVID-19 pandemic, which resulted in well documented industry-wide supply chain disruptions across the United States and globally during fiscal year 2022. As a result, we experienced corresponding unfavorable effects of higher raw material costs, higher freight and logistics costs, and supply chain challenges, including supply chain disruptions resulting from labor shortages and disruptions in ingredients. We expect to continue to see these cost pressures and supply chain challenges persist into fiscal year 2023. We have also continued to see contract manufacturer and logistics challenges, largely related to availability of labor, which we believe along with the ingredient shortages discussed above have contributed to lower retail and e-commerce sales of our products due to periodic out-of-stock situations, delayed recognition of sales and higher than historical inventory levels at times.</w:t>
      </w:r>
    </w:p>
    <w:p>
      <w:pPr>
        <w:spacing w:after="0" w:line="216" w:lineRule="exact"/>
        <w:rPr>
          <w:sz w:val="20"/>
          <w:szCs w:val="20"/>
          <w:color w:val="auto"/>
        </w:rPr>
      </w:pPr>
    </w:p>
    <w:p>
      <w:pPr>
        <w:jc w:val="both"/>
        <w:ind w:firstLine="235"/>
        <w:spacing w:after="0" w:line="256" w:lineRule="auto"/>
        <w:rPr>
          <w:sz w:val="20"/>
          <w:szCs w:val="20"/>
          <w:color w:val="auto"/>
        </w:rPr>
      </w:pPr>
      <w:r>
        <w:rPr>
          <w:rFonts w:ascii="Times New Roman" w:cs="Times New Roman" w:eastAsia="Times New Roman" w:hAnsi="Times New Roman"/>
          <w:sz w:val="18"/>
          <w:szCs w:val="18"/>
          <w:color w:val="auto"/>
        </w:rPr>
        <w:t>The improvement in consumer mobility and shopper traffic patterns experienced during fiscal year 2022 has been variable, and there continues to be uncertainty related to the sustainability and longevity of these trends. The ultimate effect COVID-19, supply chain challenges, cost pressures discussed above, and the overall effects of the current high inflation environment on consumer purchasing patterns could have on our business continues to be not fully known.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Strengths</w:t>
      </w:r>
    </w:p>
    <w:p>
      <w:pPr>
        <w:spacing w:after="0" w:line="25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Powerful brands with strong consumer awareness and loyalty</w:t>
      </w:r>
      <w:r>
        <w:rPr>
          <w:rFonts w:ascii="Times New Roman" w:cs="Times New Roman" w:eastAsia="Times New Roman" w:hAnsi="Times New Roman"/>
          <w:sz w:val="18"/>
          <w:szCs w:val="18"/>
          <w:color w:val="auto"/>
        </w:rPr>
        <w:t>. We are a leader in the fast growing nutritional snacking category, and both the Atkins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 brands are leading brands with combined scale in protein bars, protein chips, confections, cookies, and RTD shakes. Our highly focused snacking portfolio provides us with a leading position within retailers’ nutrition and wellness aisles, resulting in meaningful shelf space. Our brands are able to appeal to both consumers interested in an active lifestyle who are seeking protein-rich, low-carb snacking options as well as weight management program consumers, which makes our brands highly attractive and strategic for a diverse set of retailers across various distribution channels.</w:t>
      </w:r>
    </w:p>
    <w:p>
      <w:pPr>
        <w:spacing w:after="0" w:line="210"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Aligned with consumer mega trends. </w:t>
      </w:r>
      <w:r>
        <w:rPr>
          <w:rFonts w:ascii="Times New Roman" w:cs="Times New Roman" w:eastAsia="Times New Roman" w:hAnsi="Times New Roman"/>
          <w:sz w:val="18"/>
          <w:szCs w:val="18"/>
          <w:color w:val="auto"/>
        </w:rPr>
        <w:t>Increasing global concern about growing rates of obesity and weight-related diseases and other health issues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increased scientific, media and consumer focus on nutrition. Over 100 independent, peer reviewed, clinical studies show the benefits of controlling carbohydrates. Management believes this focus is prompting consumers to rebalance their nutritional breakdown away from carbohydrates. Our brand attributes, “low-carb,” “low-sugar” and “protein-rich” nutrition, are well aligned with consumer mega trends. In addition, we believe consumers’ eating habits are gradually shifting towards increased convenience, snacking and meal replacement. We also believe our portfolio of convenient and nutritious products and our ongoing effort to meet consumer demands for convenient options to support their individual health, nutrition and lifestyle goals.</w:t>
      </w:r>
    </w:p>
    <w:p>
      <w:pPr>
        <w:spacing w:after="0" w:line="209" w:lineRule="exact"/>
        <w:rPr>
          <w:sz w:val="20"/>
          <w:szCs w:val="20"/>
          <w:color w:val="auto"/>
        </w:rPr>
      </w:pPr>
    </w:p>
    <w:p>
      <w:pPr>
        <w:jc w:val="both"/>
        <w:ind w:firstLine="24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Scalable snacking and food platform. </w:t>
      </w:r>
      <w:r>
        <w:rPr>
          <w:rFonts w:ascii="Times New Roman" w:cs="Times New Roman" w:eastAsia="Times New Roman" w:hAnsi="Times New Roman"/>
          <w:sz w:val="18"/>
          <w:szCs w:val="18"/>
          <w:color w:val="auto"/>
        </w:rPr>
        <w:t>We have been able to grow our product offerings for both of our nutritious snacking brands through our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extensions and through acquisitions. Our in-house product development experience, combined with our outsourced manufacturing model, allow us to bring new products to market quickly. We pride ourselves on knowing our consumers and gleaning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w:t>
      </w:r>
    </w:p>
    <w:p>
      <w:pPr>
        <w:spacing w:after="0" w:line="209"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i w:val="1"/>
          <w:iCs w:val="1"/>
          <w:color w:val="auto"/>
        </w:rPr>
        <w:t>Asset-light business with strong cash generation</w:t>
      </w:r>
      <w:r>
        <w:rPr>
          <w:rFonts w:ascii="Times New Roman" w:cs="Times New Roman" w:eastAsia="Times New Roman" w:hAnsi="Times New Roman"/>
          <w:sz w:val="18"/>
          <w:szCs w:val="18"/>
          <w:color w:val="auto"/>
        </w:rPr>
        <w:t>. We retain core in-house capabilities including sales, marketing, brand management,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product development, and supply-chain expertise, while collaborating with a diversified pool of contract manufacturers and distributors to execute manufacturing and distribution. Outsourcing these competencies allows us to focus our efforts on innovation, marketing, and sales to meet consumer demands. Our lean infrastructure allows for significant flexibility, speed-to-market, and minimal capital investment, which translates into relatively consistent and robust free cash flow generation over time, driven by strong gross margins.</w:t>
      </w:r>
    </w:p>
    <w:p>
      <w:pPr>
        <w:spacing w:after="0" w:line="210" w:lineRule="exact"/>
        <w:rPr>
          <w:sz w:val="20"/>
          <w:szCs w:val="20"/>
          <w:color w:val="auto"/>
        </w:rPr>
      </w:pPr>
    </w:p>
    <w:p>
      <w:pPr>
        <w:jc w:val="both"/>
        <w:ind w:firstLine="261"/>
        <w:spacing w:after="0" w:line="257" w:lineRule="auto"/>
        <w:rPr>
          <w:sz w:val="20"/>
          <w:szCs w:val="20"/>
          <w:color w:val="auto"/>
        </w:rPr>
      </w:pPr>
      <w:r>
        <w:rPr>
          <w:rFonts w:ascii="Times New Roman" w:cs="Times New Roman" w:eastAsia="Times New Roman" w:hAnsi="Times New Roman"/>
          <w:sz w:val="18"/>
          <w:szCs w:val="18"/>
          <w:i w:val="1"/>
          <w:iCs w:val="1"/>
          <w:color w:val="auto"/>
        </w:rPr>
        <w:t>Experienced leadership team</w:t>
      </w:r>
      <w:r>
        <w:rPr>
          <w:rFonts w:ascii="Times New Roman" w:cs="Times New Roman" w:eastAsia="Times New Roman" w:hAnsi="Times New Roman"/>
          <w:sz w:val="18"/>
          <w:szCs w:val="18"/>
          <w:color w:val="auto"/>
        </w:rPr>
        <w:t>. Simply Good Foods has an experienced team of industry veterans with extensive experience across multiple branded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products, food and nutrition categories. Our management team’s extensive experience is complemented by the significant industry expertise of our directors, including James Kilts, the former Chief Executive Officer of The Gillette Company and Nabisco, and former President of Kraft USA and Oscar Mayer, and David West, the former Chief Executive Officer of Big Heart Pet Brands and The Hershey Company. Our management team’s deep expertise and proven record of accomplishment in managing brands and operating packaged food businesses is a key driver of our success and positions Simply Good Foods as an attractive vehicle for future long-term growth within the nutritional snacking space.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Strategies</w:t>
      </w:r>
    </w:p>
    <w:p>
      <w:pPr>
        <w:spacing w:after="0" w:line="25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18"/>
          <w:szCs w:val="18"/>
          <w:i w:val="1"/>
          <w:iCs w:val="1"/>
          <w:color w:val="auto"/>
        </w:rPr>
        <w:t>Leverage platform to expand in attractive food and snacking categories</w:t>
      </w:r>
      <w:r>
        <w:rPr>
          <w:rFonts w:ascii="Times New Roman" w:cs="Times New Roman" w:eastAsia="Times New Roman" w:hAnsi="Times New Roman"/>
          <w:sz w:val="18"/>
          <w:szCs w:val="18"/>
          <w:color w:val="auto"/>
        </w:rPr>
        <w:t>. Management believes the fragmented snacking category presents an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consolidation 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the Atkins and Quest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212" w:lineRule="exact"/>
        <w:rPr>
          <w:sz w:val="20"/>
          <w:szCs w:val="20"/>
          <w:color w:val="auto"/>
        </w:rPr>
      </w:pPr>
    </w:p>
    <w:p>
      <w:pPr>
        <w:jc w:val="both"/>
        <w:ind w:firstLine="24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Innovate and expand the portfolio of product offerings to meet consumer demand for higher protein products and new product forms.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enhance, strengthen and expand our product offerings with new and innovative flavors and forms and packaging alternatives, all while maintaining a commitment to delivering products that meet our nutritional profile and provide the convenience that consumers crave.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pursuit of merger and acquisition transactions.</w:t>
      </w:r>
    </w:p>
    <w:p>
      <w:pPr>
        <w:spacing w:after="0" w:line="209" w:lineRule="exact"/>
        <w:rPr>
          <w:sz w:val="20"/>
          <w:szCs w:val="20"/>
          <w:color w:val="auto"/>
        </w:rPr>
      </w:pPr>
    </w:p>
    <w:p>
      <w:pPr>
        <w:jc w:val="both"/>
        <w:ind w:firstLine="20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distribution in white space opportunities. </w:t>
      </w:r>
      <w:r>
        <w:rPr>
          <w:rFonts w:ascii="Times New Roman" w:cs="Times New Roman" w:eastAsia="Times New Roman" w:hAnsi="Times New Roman"/>
          <w:sz w:val="18"/>
          <w:szCs w:val="18"/>
          <w:color w:val="auto"/>
        </w:rPr>
        <w:t>In the fifty-two weeks ended August 27, 2022, approximately 88% of Atkins’ gross sales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approximately 75% of Quest’s gross sales in the U.S. were through the mass retailer, grocery and convenience store distribution channels. Our management believes there is opportunity for the brands to further penetrate those channels as well as other distribution channels such as convenience and club stores. In addition, while shoppers have increased e-commerce purchases generally, approximately 12% of Atkins’ gross sales for the fifty-two weeks ended August 27, 2022, were through its e-commerce channel and approximately 21% of Quest’s gross sales for the same period were through its e-commerce channel. We intend to leverage our brand recognition to develop further the distribution channels through which we reach consumers, including through the continued expansion of the e-commerce channel.</w:t>
      </w:r>
    </w:p>
    <w:p>
      <w:pPr>
        <w:spacing w:after="0" w:line="210"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our marketing efforts to increase household penetration. </w:t>
      </w:r>
      <w:r>
        <w:rPr>
          <w:rFonts w:ascii="Times New Roman" w:cs="Times New Roman" w:eastAsia="Times New Roman" w:hAnsi="Times New Roman"/>
          <w:sz w:val="18"/>
          <w:szCs w:val="18"/>
          <w:color w:val="auto"/>
        </w:rPr>
        <w:t>We intend to expand our marketing efforts to bring first-time buyers into the Atkins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Quest brand franchises. Consumers who have tried our Atkins and Quest products have a relatively high repeat buying rate and long-term buying behavior, as evidenced by servings per buyer, per year. For our Atkins brand, our historic consumer base has been people interested in weight loss, and for the Quest brand it has been individuals pursuing a performance-based active and athletic lifestyle.</w:t>
      </w:r>
    </w:p>
    <w:p>
      <w:pPr>
        <w:spacing w:after="0" w:line="209" w:lineRule="exact"/>
        <w:rPr>
          <w:sz w:val="20"/>
          <w:szCs w:val="20"/>
          <w:color w:val="auto"/>
        </w:rPr>
      </w:pPr>
    </w:p>
    <w:p>
      <w:pPr>
        <w:jc w:val="both"/>
        <w:ind w:firstLine="188"/>
        <w:spacing w:after="0" w:line="254" w:lineRule="auto"/>
        <w:rPr>
          <w:sz w:val="20"/>
          <w:szCs w:val="20"/>
          <w:color w:val="auto"/>
        </w:rPr>
      </w:pPr>
      <w:r>
        <w:rPr>
          <w:rFonts w:ascii="Times New Roman" w:cs="Times New Roman" w:eastAsia="Times New Roman" w:hAnsi="Times New Roman"/>
          <w:sz w:val="18"/>
          <w:szCs w:val="18"/>
          <w:color w:val="auto"/>
        </w:rPr>
        <w:t>For both the Atkins and the Quest brands, we have an active and growing digital and social presence, using a comprehensive approach of search, banner, and search engine optimization efforts. We are a leader in social media, with a top-tier presence on Facebook, Instagram, Pinterest, Twitter and YouTube. We also have a growing network of social influencers and content creators, who promote our products in their targeted social media posts. We believe that social media is a cost-effective way of continuing to attract and retain our consumers. We believe that our ongoing efforts to educate consumers about the benefits of a lower carbohydrate lifestyle will further reinforce our brands. For our Atkins brand, we use targeted broadcast and streaming television and print ads with a celebrity-based campaign that attempts to motivate potential programmatic weight loss consumers to try the Atkins approach to healthier eating and weight loss as these Atkins consumers are our most loyal, profitable and frequent purchasers. For our Quest brand, we launched a national, targeted broadcast ad campaign, and continue to leverage targeted streaming television ads and an extensive network of social media influencers and content creators who prompt our Quest brand products through their online posts to motivate new buyers and new product introductions.</w:t>
      </w:r>
    </w:p>
    <w:p>
      <w:pPr>
        <w:spacing w:after="0" w:line="213"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Further develop our brand marketing strategies to reach consumers beyond our core historic buyers. </w:t>
      </w:r>
      <w:r>
        <w:rPr>
          <w:rFonts w:ascii="Times New Roman" w:cs="Times New Roman" w:eastAsia="Times New Roman" w:hAnsi="Times New Roman"/>
          <w:sz w:val="18"/>
          <w:szCs w:val="18"/>
          <w:color w:val="auto"/>
        </w:rPr>
        <w:t>We intend to continue to make focused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approach to consumer outreach to attract consumers beyond our historic core buyers. For the Atkins brand, we intend to continue our marketing efforts to attract self-directed low-carbohydrate and health motivated eaters (those individuals not on a program diet) who buy and consume our Atkins products. For our Quest brand, we intend to continue our marketing efforts to reach consumers who are seeking products that are aligned with their choice to pursue a healthy and active lifestyle. We also note the Atkins brand has approximately 91% aided brand awareness with U.S. consumers and the Quest brand has approximately 68% aided brand awareness with U.S. consumers.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Vision and Mission</w:t>
      </w:r>
    </w:p>
    <w:p>
      <w:pPr>
        <w:spacing w:after="0" w:line="256"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Our vision is to lead the nutritional snacking movement with trusted brands that offer a variety of convenient, innovative, great-tasting, better-for-you snacks and meal replacements and other product offerings. Our mission is to empower healthy lives through smart and satisfying nutrition.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Atkins Products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core Atkins brand products consist of protein bars, RTD shakes, confections, cookies, and chips.</w:t>
      </w:r>
    </w:p>
    <w:p>
      <w:pPr>
        <w:spacing w:after="0" w:line="250"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Atkins bars offer a convenient and effective solution, providing consumers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fiber and a delicious taste. Atkins offers two main types of bars: Atkins Meal Bars and Atkins Snack Bars. Atkins Meal Bars contain 13 to 17 grams of protein and are available in more than 10 different flavors. Atkins Snack Bars contain 7 to 13 grams of protein, with 2 to 4 grams of net carbs, and are available in 15 different varieties.</w:t>
      </w:r>
    </w:p>
    <w:p>
      <w:pPr>
        <w:spacing w:after="0" w:line="20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RTD Shakes. </w:t>
      </w:r>
      <w:r>
        <w:rPr>
          <w:rFonts w:ascii="Times New Roman" w:cs="Times New Roman" w:eastAsia="Times New Roman" w:hAnsi="Times New Roman"/>
          <w:sz w:val="18"/>
          <w:szCs w:val="18"/>
          <w:color w:val="auto"/>
        </w:rPr>
        <w:t>Our rich and creamy Atkins RTD shakes contain 10 to 15 grams of protein, as well as other important vitamins and minerals. Available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flavors, including cookies and crème, café caramel and creamy chocolate, Atkins’ RTD shakes are made with high quality ingredients and are designed to provide energy balance through the day. Our Atkins’ Plus RTD shakes contain 30 grams of protein, for our consumers seeking higher protein content.</w:t>
      </w:r>
    </w:p>
    <w:p>
      <w:pPr>
        <w:spacing w:after="0" w:line="205" w:lineRule="exact"/>
        <w:rPr>
          <w:sz w:val="20"/>
          <w:szCs w:val="20"/>
          <w:color w:val="auto"/>
        </w:rPr>
      </w:pPr>
    </w:p>
    <w:p>
      <w:pPr>
        <w:jc w:val="both"/>
        <w:ind w:firstLine="193"/>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Our Atkins Endulge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which is designed to satisfy consumers’ sweet cravings, and which we call Treats, consists of delicious desserts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all of the added sugar. Atkins offers a variety of different Treats, such as peanut butter cups and pecan caramel clusters, each with only 1 gram of sugar or less and low net carbs, providing consumers with the option to indulge.</w:t>
      </w:r>
    </w:p>
    <w:p>
      <w:pPr>
        <w:spacing w:after="0" w:line="225" w:lineRule="exact"/>
        <w:rPr>
          <w:sz w:val="20"/>
          <w:szCs w:val="20"/>
          <w:color w:val="auto"/>
        </w:rPr>
      </w:pPr>
    </w:p>
    <w:p>
      <w:pPr>
        <w:jc w:val="both"/>
        <w:ind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Cookies. </w:t>
      </w:r>
      <w:r>
        <w:rPr>
          <w:rFonts w:ascii="Times New Roman" w:cs="Times New Roman" w:eastAsia="Times New Roman" w:hAnsi="Times New Roman"/>
          <w:sz w:val="18"/>
          <w:szCs w:val="18"/>
          <w:color w:val="auto"/>
        </w:rPr>
        <w:t>First launched in fiscal year 2021, Atkins’ soft and chewy cookie products are a convenient source of high-protein combined with low net carbs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low-sugar. These sweet tasting cookies are available in double chocolate chip, peanut butter and chocolate chip. Atkins’ cookies contain approximately 10 grams of protein, 3 grams of net carbs and approximately 1 gram of sugar or less depending on the flavor.</w:t>
      </w:r>
    </w:p>
    <w:p>
      <w:pPr>
        <w:spacing w:after="0" w:line="200" w:lineRule="exact"/>
        <w:rPr>
          <w:sz w:val="20"/>
          <w:szCs w:val="20"/>
          <w:color w:val="auto"/>
        </w:rPr>
      </w:pPr>
    </w:p>
    <w:p>
      <w:pPr>
        <w:jc w:val="both"/>
        <w:ind w:firstLine="20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Chips. </w:t>
      </w:r>
      <w:r>
        <w:rPr>
          <w:rFonts w:ascii="Times New Roman" w:cs="Times New Roman" w:eastAsia="Times New Roman" w:hAnsi="Times New Roman"/>
          <w:sz w:val="18"/>
          <w:szCs w:val="18"/>
          <w:color w:val="auto"/>
        </w:rPr>
        <w:t>First launched during fiscal year 2022, Atkins’s protein chips offer an attractive nutrition profile when compared to conventional chip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in nacho cheese, ranch, and chipotle BBQ flavors, Atkins’s chips typically contain about 13 grams of protein, about 4 grams of net carbs, and around 7 grams of fat compared to 2 grams of protein, 15 grams of net carbs and 8 grams of fat for a well-known leading conventional brand.</w:t>
      </w:r>
    </w:p>
    <w:p>
      <w:pPr>
        <w:spacing w:after="0" w:line="200" w:lineRule="exact"/>
        <w:rPr>
          <w:sz w:val="20"/>
          <w:szCs w:val="20"/>
          <w:color w:val="auto"/>
        </w:rPr>
      </w:pPr>
    </w:p>
    <w:p>
      <w:pPr>
        <w:jc w:val="both"/>
        <w:ind w:firstLine="26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Recipes. </w:t>
      </w:r>
      <w:r>
        <w:rPr>
          <w:rFonts w:ascii="Times New Roman" w:cs="Times New Roman" w:eastAsia="Times New Roman" w:hAnsi="Times New Roman"/>
          <w:sz w:val="18"/>
          <w:szCs w:val="18"/>
          <w:color w:val="auto"/>
        </w:rPr>
        <w:t>While provided free of charge, we also offer over 1,600 protein-rich, low-carbohydrate and low-sugar recipes designed to help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and maintain a healthy lifestyle, while still enjoying delicious food.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Quest Products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core Quest brand products consist of protein bars, cookies, chips and confections.</w:t>
      </w:r>
    </w:p>
    <w:p>
      <w:pPr>
        <w:spacing w:after="0" w:line="250" w:lineRule="exact"/>
        <w:rPr>
          <w:sz w:val="20"/>
          <w:szCs w:val="20"/>
          <w:color w:val="auto"/>
        </w:rPr>
      </w:pPr>
    </w:p>
    <w:p>
      <w:pPr>
        <w:jc w:val="both"/>
        <w:ind w:firstLine="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Quest bars offer a convenient and effective solution, providing consumers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fiber and a delicious taste. The typical Quest bar profile contains about 20 grams of protein, 5 grams or less of net carbs and about 1 gram of sugar. Quest offers more than 25 different flavors of protein bars.</w:t>
      </w:r>
    </w:p>
    <w:p>
      <w:pPr>
        <w:spacing w:after="0" w:line="200"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8"/>
          <w:szCs w:val="18"/>
          <w:i w:val="1"/>
          <w:iCs w:val="1"/>
          <w:color w:val="auto"/>
        </w:rPr>
        <w:t>Cookies</w:t>
      </w:r>
      <w:r>
        <w:rPr>
          <w:rFonts w:ascii="Times New Roman" w:cs="Times New Roman" w:eastAsia="Times New Roman" w:hAnsi="Times New Roman"/>
          <w:sz w:val="18"/>
          <w:szCs w:val="18"/>
          <w:color w:val="auto"/>
        </w:rPr>
        <w:t>. First launched in 2018, Quest’s cookie products are a convenient source of high-protein combined with low net carbs and low-sugar.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variety of flavors including Chocolate Chip, Peanut Butter, Oatmeal Raisin and Snickerdoodle, Quest’s cookies typically contain about 15 grams of protein, 4 grams or less of net carbs and less than 1 gram of sugar.</w:t>
      </w:r>
    </w:p>
    <w:p>
      <w:pPr>
        <w:spacing w:after="0" w:line="200" w:lineRule="exact"/>
        <w:rPr>
          <w:sz w:val="20"/>
          <w:szCs w:val="20"/>
          <w:color w:val="auto"/>
        </w:rPr>
      </w:pPr>
    </w:p>
    <w:p>
      <w:pPr>
        <w:jc w:val="both"/>
        <w:ind w:firstLine="247"/>
        <w:spacing w:after="0" w:line="261" w:lineRule="auto"/>
        <w:rPr>
          <w:sz w:val="20"/>
          <w:szCs w:val="20"/>
          <w:color w:val="auto"/>
        </w:rPr>
      </w:pPr>
      <w:r>
        <w:rPr>
          <w:rFonts w:ascii="Times New Roman" w:cs="Times New Roman" w:eastAsia="Times New Roman" w:hAnsi="Times New Roman"/>
          <w:sz w:val="18"/>
          <w:szCs w:val="18"/>
          <w:i w:val="1"/>
          <w:iCs w:val="1"/>
          <w:color w:val="auto"/>
        </w:rPr>
        <w:t>Chips</w:t>
      </w:r>
      <w:r>
        <w:rPr>
          <w:rFonts w:ascii="Times New Roman" w:cs="Times New Roman" w:eastAsia="Times New Roman" w:hAnsi="Times New Roman"/>
          <w:sz w:val="18"/>
          <w:szCs w:val="18"/>
          <w:color w:val="auto"/>
        </w:rPr>
        <w:t>. Quest’s protein chips, including the tortilla-style chips launched in spring 2018, quickly became a high-selling product offering an attractive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nutrition profile when compared to conventional chip products. Offered in flavors including nacho cheese, ranch, chili lime, BBQ, loaded taco and spicy sweet chili, Quest’s chips typically contain about 18 grams of protein, about 4 grams of net carbs, and around 6 grams of fat compared to 2 grams of protein, 15 grams of net carbs and 8 grams of fat for a well-known leading conventional brand.</w:t>
      </w:r>
    </w:p>
    <w:p>
      <w:pPr>
        <w:spacing w:after="0" w:line="207"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Recently launched confections include full-size and mini peanut butter cups and “fudgey” brownie and “gooey” caramel candy bites sold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variety of packaging. The full-size peanut butter cups feature a nutrition profile for two cups of 11 grams of protein, 1 gram of net carbs, less than 1 gram of sugar and 4 grams of fiber. The mini peanut butter cups feature a nutrition profile per serving of 8 grams of protein, 1 gram of net carbs, less than 1 gram of sugar and 3 grams of fiber. The candy bites feature a nutrition profile of 5 grams of protein, 1 gram of net carbs, less than 1 gram of sugar, and candy bars feature 4 grams of fiber to 12 grams of protein, 3 grams of net carbs, 1 gram of sugar and 9 grams of fiber.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Advertising and Consumer Outreach</w:t>
      </w:r>
    </w:p>
    <w:p>
      <w:pPr>
        <w:spacing w:after="0" w:line="256" w:lineRule="exact"/>
        <w:rPr>
          <w:sz w:val="20"/>
          <w:szCs w:val="20"/>
          <w:color w:val="auto"/>
        </w:rPr>
      </w:pPr>
    </w:p>
    <w:p>
      <w:pPr>
        <w:jc w:val="both"/>
        <w:ind w:firstLine="228"/>
        <w:spacing w:after="0" w:line="255" w:lineRule="auto"/>
        <w:rPr>
          <w:sz w:val="20"/>
          <w:szCs w:val="20"/>
          <w:color w:val="auto"/>
        </w:rPr>
      </w:pPr>
      <w:r>
        <w:rPr>
          <w:rFonts w:ascii="Times New Roman" w:cs="Times New Roman" w:eastAsia="Times New Roman" w:hAnsi="Times New Roman"/>
          <w:sz w:val="18"/>
          <w:szCs w:val="18"/>
          <w:color w:val="auto"/>
        </w:rPr>
        <w:t>Our marketing efforts are designed to increase consumer awareness of and demand for our products. We employ a broad mix of marketing, including coupons,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increasing consumer preference and usage of our brands. Our trade promotions focus on obtaining retail feature and display support, achieving optimum retail product prices and securing retail shelf space. We use coupons (freestanding insert newspaper, store register, on-pack and online coupons) to help stimulate product trial and repeat purchases by providing consumers with economic incentives. The mix of these marketing activities varies between the Atkins and Quest brands.</w:t>
      </w:r>
    </w:p>
    <w:p>
      <w:pPr>
        <w:spacing w:after="0" w:line="216" w:lineRule="exact"/>
        <w:rPr>
          <w:sz w:val="20"/>
          <w:szCs w:val="20"/>
          <w:color w:val="auto"/>
        </w:rPr>
      </w:pPr>
    </w:p>
    <w:p>
      <w:pPr>
        <w:jc w:val="both"/>
        <w:ind w:firstLine="274"/>
        <w:spacing w:after="0" w:line="256"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teaching consumers how to make smarter food choices and the nutritional qualities of our products. We also provide access to consumer service representatives to answer questions and educate consumers on nutrition, new products and developments.</w:t>
      </w:r>
    </w:p>
    <w:p>
      <w:pPr>
        <w:spacing w:after="0" w:line="214" w:lineRule="exact"/>
        <w:rPr>
          <w:sz w:val="20"/>
          <w:szCs w:val="20"/>
          <w:color w:val="auto"/>
        </w:rPr>
      </w:pPr>
    </w:p>
    <w:p>
      <w:pPr>
        <w:jc w:val="both"/>
        <w:ind w:firstLine="186"/>
        <w:spacing w:after="0" w:line="266" w:lineRule="auto"/>
        <w:rPr>
          <w:sz w:val="20"/>
          <w:szCs w:val="20"/>
          <w:color w:val="auto"/>
        </w:rPr>
      </w:pPr>
      <w:r>
        <w:rPr>
          <w:rFonts w:ascii="Times New Roman" w:cs="Times New Roman" w:eastAsia="Times New Roman" w:hAnsi="Times New Roman"/>
          <w:sz w:val="18"/>
          <w:szCs w:val="18"/>
          <w:color w:val="auto"/>
        </w:rPr>
        <w:t>For both brands, in order to facilitate awareness and knowledge of the health benefits of a low-carbohydrate, low-sugar and protein-rich eating approach,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203" w:lineRule="exact"/>
        <w:rPr>
          <w:sz w:val="20"/>
          <w:szCs w:val="20"/>
          <w:color w:val="auto"/>
        </w:rPr>
      </w:pPr>
    </w:p>
    <w:p>
      <w:pPr>
        <w:jc w:val="both"/>
        <w:ind w:firstLine="232"/>
        <w:spacing w:after="0" w:line="266" w:lineRule="auto"/>
        <w:rPr>
          <w:sz w:val="20"/>
          <w:szCs w:val="20"/>
          <w:color w:val="auto"/>
        </w:rPr>
      </w:pPr>
      <w:r>
        <w:rPr>
          <w:rFonts w:ascii="Times New Roman" w:cs="Times New Roman" w:eastAsia="Times New Roman" w:hAnsi="Times New Roman"/>
          <w:sz w:val="18"/>
          <w:szCs w:val="18"/>
          <w:color w:val="auto"/>
        </w:rPr>
        <w:t>For both brands, we have built large consumer followings.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In the fifty-two weeks ended August 27, 2022, approximately 69% of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expenses were spent on advertising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256" w:lineRule="exact"/>
        <w:rPr>
          <w:sz w:val="20"/>
          <w:szCs w:val="20"/>
          <w:color w:val="auto"/>
        </w:rPr>
      </w:pPr>
    </w:p>
    <w:p>
      <w:pPr>
        <w:jc w:val="both"/>
        <w:ind w:firstLine="241"/>
        <w:spacing w:after="0" w:line="261" w:lineRule="auto"/>
        <w:rPr>
          <w:sz w:val="20"/>
          <w:szCs w:val="20"/>
          <w:color w:val="auto"/>
        </w:rPr>
      </w:pPr>
      <w:r>
        <w:rPr>
          <w:rFonts w:ascii="Times New Roman" w:cs="Times New Roman" w:eastAsia="Times New Roman" w:hAnsi="Times New Roman"/>
          <w:sz w:val="18"/>
          <w:szCs w:val="18"/>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ingredients to meet consumer demands for unique nutrition options.</w:t>
      </w:r>
    </w:p>
    <w:p>
      <w:pPr>
        <w:spacing w:after="0" w:line="207"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203" w:lineRule="exact"/>
        <w:rPr>
          <w:sz w:val="20"/>
          <w:szCs w:val="20"/>
          <w:color w:val="auto"/>
        </w:rPr>
      </w:pPr>
    </w:p>
    <w:p>
      <w:pPr>
        <w:jc w:val="both"/>
        <w:ind w:firstLine="229"/>
        <w:spacing w:after="0" w:line="266" w:lineRule="auto"/>
        <w:rPr>
          <w:sz w:val="20"/>
          <w:szCs w:val="20"/>
          <w:color w:val="auto"/>
        </w:rPr>
      </w:pPr>
      <w:r>
        <w:rPr>
          <w:rFonts w:ascii="Times New Roman" w:cs="Times New Roman" w:eastAsia="Times New Roman" w:hAnsi="Times New Roman"/>
          <w:sz w:val="18"/>
          <w:szCs w:val="18"/>
          <w:color w:val="auto"/>
        </w:rPr>
        <w:t>Management believes that an important component of meeting consumers’ nutritional needs is a focus on evolving current products and creating new products with cleaner and fewer ingredients. Accordingly, we are committed to continually finding new and innovative formulations to reduce the number of ingredients in our products, as well as using “better-for-you” ingredients like nuts, fiber and whey protein, while continually improving taste and quality.</w:t>
      </w:r>
    </w:p>
    <w:p>
      <w:pPr>
        <w:spacing w:after="0" w:line="203"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We maintain an in-house research and development team as well as market research and consumer insight capabilities. Through our research and development labs in El Segundo, California and Broomfield, Colorado, we control our brands’ innovations and product formulations from the ground up. By developing new products, prototypes and adjacencies in-house, we facilitate our core competencies in product innovation, and enhance our speed to market.</w:t>
      </w:r>
    </w:p>
    <w:p>
      <w:pPr>
        <w:spacing w:after="0" w:line="207"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207"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Management also believes the fragmented snacking category presents an opportunity for consolidation and the opportunity to build, through disciplined acquisitions, a leading platform in the nutritional snacking space. As a leader in nutritious snacking,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8"/>
          <w:szCs w:val="18"/>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for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We compete primarily with nutritional snacking brands in large retail and e-commerce environments. The nutritional snacking industry is fragmented and highly competitive and includes a number of diverse competitors. Our identified branded competitors include, but are not limited to, CLIF Bar, KIND bars, Special K, Boost, Slimfast, Muscle Milk, ONE bar, Pure Protein, Premier Nutrition and think!. We believe that the principal competitive factors in the nutritional snacking and weight management industries are:</w:t>
      </w:r>
    </w:p>
    <w:p>
      <w:pPr>
        <w:spacing w:after="0" w:line="20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loyalty among consumers;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ingredients;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macronutrient profile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taste;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variety, packaging and labeling;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retailer shelf space.</w:t>
      </w:r>
    </w:p>
    <w:p>
      <w:pPr>
        <w:spacing w:after="0" w:line="234" w:lineRule="exact"/>
        <w:rPr>
          <w:sz w:val="20"/>
          <w:szCs w:val="20"/>
          <w:color w:val="auto"/>
        </w:rPr>
      </w:pPr>
    </w:p>
    <w:p>
      <w:pPr>
        <w:jc w:val="both"/>
        <w:ind w:firstLine="199"/>
        <w:spacing w:after="0" w:line="261" w:lineRule="auto"/>
        <w:rPr>
          <w:sz w:val="20"/>
          <w:szCs w:val="20"/>
          <w:color w:val="auto"/>
        </w:rPr>
      </w:pPr>
      <w:r>
        <w:rPr>
          <w:rFonts w:ascii="Times New Roman" w:cs="Times New Roman" w:eastAsia="Times New Roman" w:hAnsi="Times New Roman"/>
          <w:sz w:val="18"/>
          <w:szCs w:val="18"/>
          <w:color w:val="auto"/>
        </w:rPr>
        <w:t>We believe that we currently compete effectively with respect to each of these factors. However, a number of companies in the nutritional snacking and weight management industry have greater financial resources, more comprehensive product lines, broader market presence, longer standing relationships with distributors and suppliers, longer operating histories, greater distribution capabilities, stronger brand recognition, and greater marketing resources than we have.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56" w:lineRule="exact"/>
        <w:rPr>
          <w:sz w:val="20"/>
          <w:szCs w:val="20"/>
          <w:color w:val="auto"/>
        </w:rPr>
      </w:pPr>
    </w:p>
    <w:p>
      <w:pPr>
        <w:jc w:val="both"/>
        <w:ind w:firstLine="291"/>
        <w:spacing w:after="0" w:line="266" w:lineRule="auto"/>
        <w:rPr>
          <w:sz w:val="20"/>
          <w:szCs w:val="20"/>
          <w:color w:val="auto"/>
        </w:rPr>
      </w:pPr>
      <w:r>
        <w:rPr>
          <w:rFonts w:ascii="Times New Roman" w:cs="Times New Roman" w:eastAsia="Times New Roman" w:hAnsi="Times New Roman"/>
          <w:sz w:val="18"/>
          <w:szCs w:val="18"/>
          <w:color w:val="auto"/>
        </w:rPr>
        <w:t>We operate an asset-light business model. For the manufacture of our products, we subcontract with contract manufacturers, and as a result, our operations are highly flexible and require minimal capital expenditure. The supply chain for our international business also uses exclusively contract manufacturers.</w:t>
      </w:r>
    </w:p>
    <w:p>
      <w:pPr>
        <w:spacing w:after="0" w:line="201"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i w:val="1"/>
          <w:iCs w:val="1"/>
          <w:color w:val="auto"/>
        </w:rPr>
        <w:t>U.S. Supply Chain</w:t>
      </w:r>
      <w:r>
        <w:rPr>
          <w:rFonts w:ascii="Times New Roman" w:cs="Times New Roman" w:eastAsia="Times New Roman" w:hAnsi="Times New Roman"/>
          <w:sz w:val="18"/>
          <w:szCs w:val="18"/>
          <w:color w:val="auto"/>
        </w:rPr>
        <w:t>. The majority of our products are shipped directly to one central warehouse, which is a leased warehouse managed by a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provider. We also have a separate warehouse for a portion of our distribution needs. A substantial portion of our inventory is shipped directly to our retailers from this warehouse by the same third-party logistics provider. Most of our remaining customers pick-up their orders at our distribution centers and make their own arrangements for delivery to their fulfillment network. For certain customers, RTD shakes are shipped directly from the contract manufacturer to the customers’ locations. We believe our use of demand forecasting and vendor-managed inventory systems enables us to meet shipping demands, ensure timely delivery of orders and offer service levels to our customers.</w:t>
      </w:r>
    </w:p>
    <w:p>
      <w:pPr>
        <w:spacing w:after="0" w:line="209" w:lineRule="exact"/>
        <w:rPr>
          <w:sz w:val="20"/>
          <w:szCs w:val="20"/>
          <w:color w:val="auto"/>
        </w:rPr>
      </w:pPr>
    </w:p>
    <w:p>
      <w:pPr>
        <w:jc w:val="both"/>
        <w:ind w:firstLine="24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Sourcing. </w:t>
      </w:r>
      <w:r>
        <w:rPr>
          <w:rFonts w:ascii="Times New Roman" w:cs="Times New Roman" w:eastAsia="Times New Roman" w:hAnsi="Times New Roman"/>
          <w:sz w:val="18"/>
          <w:szCs w:val="18"/>
          <w:color w:val="auto"/>
        </w:rPr>
        <w:t>The principal ingredients to manufacture our products include chocolate and other coatings, dairy, proteins, soy, and nuts. Our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flexible film, cartons, tetra paper, and corrugate. All of our core ingredients are purchased according to rigorous standards to assure food quality and safety. These core ingredients are generally available in adequate quantities from several suppliers, and to date, most core ingredient supplies have largely not been affected by the supply chain challenges related to the COVID-19 pandemic or recent geopolitical events. We competitively bid with major suppliers to source competitively priced, quality ingredients and packaging that meet our standards. For certain ingredients we establish direct purchasing agreements with suppliers, under which our contract manufacturers source ingredients to produce finished products. We also actively manage the cost of most of our packaging supplies, such as corrugate, film, and tetra caps and cartons. The cost of sourcing our ingredients and packaging has been affected by the</w:t>
      </w:r>
    </w:p>
    <w:p>
      <w:pPr>
        <w:sectPr>
          <w:pgSz w:w="11900" w:h="16838" w:orient="portrait"/>
          <w:cols w:equalWidth="0" w:num="1">
            <w:col w:w="11240"/>
          </w:cols>
          <w:pgMar w:left="320" w:top="688"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 w:name="page13"/>
    <w:bookmarkEnd w:id="12"/>
    <w:p>
      <w:pPr>
        <w:jc w:val="both"/>
        <w:spacing w:after="0" w:line="284" w:lineRule="auto"/>
        <w:rPr>
          <w:sz w:val="20"/>
          <w:szCs w:val="20"/>
          <w:color w:val="auto"/>
        </w:rPr>
      </w:pPr>
      <w:r>
        <w:rPr>
          <w:rFonts w:ascii="Times New Roman" w:cs="Times New Roman" w:eastAsia="Times New Roman" w:hAnsi="Times New Roman"/>
          <w:sz w:val="18"/>
          <w:szCs w:val="18"/>
          <w:color w:val="auto"/>
        </w:rPr>
        <w:t>current elevated levels of supply chain cost inflation in the United States and elsewhere. For more information, see “</w:t>
      </w:r>
      <w:r>
        <w:rPr>
          <w:rFonts w:ascii="Times New Roman" w:cs="Times New Roman" w:eastAsia="Times New Roman" w:hAnsi="Times New Roman"/>
          <w:sz w:val="18"/>
          <w:szCs w:val="18"/>
          <w:i w:val="1"/>
          <w:iCs w:val="1"/>
          <w:color w:val="auto"/>
        </w:rPr>
        <w:t>– Business Trends in Fiscal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w:t>
      </w:r>
      <w:r>
        <w:rPr>
          <w:rFonts w:ascii="Times New Roman" w:cs="Times New Roman" w:eastAsia="Times New Roman" w:hAnsi="Times New Roman"/>
          <w:sz w:val="18"/>
          <w:szCs w:val="18"/>
          <w:color w:val="auto"/>
        </w:rPr>
        <w:t>,” above.</w:t>
      </w:r>
    </w:p>
    <w:p>
      <w:pPr>
        <w:spacing w:after="0" w:line="185" w:lineRule="exact"/>
        <w:rPr>
          <w:sz w:val="20"/>
          <w:szCs w:val="20"/>
          <w:color w:val="auto"/>
        </w:rPr>
      </w:pPr>
    </w:p>
    <w:p>
      <w:pPr>
        <w:jc w:val="both"/>
        <w:ind w:firstLine="28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We rely on contract manufacturers to manufacture our products. The contract manufacturers schedule and receive ingredient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inventory according to parameters set in their contracts and forecasts we provide. As noted above, some ingredients and packaging are purchased by our contract manufacturers pursuant to framework contracts we have with the applicable suppliers. Our contract manufacturers are regularly audited by third parties and are required to follow rigorous food safety guidelines. We believe our contract manufacturers have capacity to meet our anticipated supply needs, although short-term high demand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w:t>
      </w:r>
    </w:p>
    <w:p>
      <w:pPr>
        <w:spacing w:after="0" w:line="212"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Storage. </w:t>
      </w:r>
      <w:r>
        <w:rPr>
          <w:rFonts w:ascii="Times New Roman" w:cs="Times New Roman" w:eastAsia="Times New Roman" w:hAnsi="Times New Roman"/>
          <w:sz w:val="18"/>
          <w:szCs w:val="18"/>
          <w:color w:val="auto"/>
        </w:rPr>
        <w:t>We lease two distribution centers, both in Greenfield, Indiana, referred to collectively as the Distribution Centers, where we store finished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We utilize over 1.29 million square feet of floor space among our Distribution Centers.</w:t>
      </w:r>
    </w:p>
    <w:p>
      <w:pPr>
        <w:spacing w:after="0" w:line="18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For the majority of our customers, our logistics provider distributes the finished goods via truckloads from our Distribution Centers,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flow through regional terminals. At the terminals, our orders are consolidated with other companies’ products being shipped to the customer. The finished goods are then distributed to retailer distribution centers. The regular weekly shipments and consolidation have reduced our costs. For some products, we ship directly to customers from our contract manufacturer through a third-party logistics provider. In some instances, the customer will arrange to pick-up directly finished products from our Distribution Centers.</w:t>
      </w:r>
    </w:p>
    <w:p>
      <w:pPr>
        <w:spacing w:after="0" w:line="210" w:lineRule="exact"/>
        <w:rPr>
          <w:sz w:val="20"/>
          <w:szCs w:val="20"/>
          <w:color w:val="auto"/>
        </w:rPr>
      </w:pPr>
    </w:p>
    <w:p>
      <w:pPr>
        <w:jc w:val="both"/>
        <w:ind w:firstLine="24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Retailers. </w:t>
      </w:r>
      <w:r>
        <w:rPr>
          <w:rFonts w:ascii="Times New Roman" w:cs="Times New Roman" w:eastAsia="Times New Roman" w:hAnsi="Times New Roman"/>
          <w:sz w:val="18"/>
          <w:szCs w:val="18"/>
          <w:color w:val="auto"/>
        </w:rPr>
        <w:t>We have a wide variety of customers across the mass, food, club, drug, and e-commerce channels. A substantial majority of our sales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a limited number of retailers. Sales to our largest retailer, Walmart, represented approximately 31% of consolidated sales in fiscal year 2022, of which approximately 23% is through their mass retail channel and approximately 8% is through their Sam’s club and e-commerce channels. Sales to our next two largest retailers, Amazon and Target, represented approximately 13% and 10% of consolidated sales in fiscal year 2022, respectively. No other customer represents more than 10% of sales. For additional information, please see the risk factor “</w:t>
      </w:r>
      <w:r>
        <w:rPr>
          <w:rFonts w:ascii="Times New Roman" w:cs="Times New Roman" w:eastAsia="Times New Roman" w:hAnsi="Times New Roman"/>
          <w:sz w:val="18"/>
          <w:szCs w:val="18"/>
          <w:i w:val="1"/>
          <w:iCs w:val="1"/>
          <w:color w:val="auto"/>
        </w:rPr>
        <w:t>We rely on sales to a limited number of retailers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 substantial majority of our net sales, and losing one or more such retailers may materially harm our business. In addition, we maintain “at will” contracts with these retailers, which do not require recurring or minimum purchase amounts of our products.”</w:t>
      </w:r>
    </w:p>
    <w:p>
      <w:pPr>
        <w:spacing w:after="0" w:line="210" w:lineRule="exact"/>
        <w:rPr>
          <w:sz w:val="20"/>
          <w:szCs w:val="20"/>
          <w:color w:val="auto"/>
        </w:rPr>
      </w:pPr>
    </w:p>
    <w:p>
      <w:pPr>
        <w:jc w:val="both"/>
        <w:ind w:firstLine="234"/>
        <w:spacing w:after="0" w:line="267" w:lineRule="auto"/>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We aim to ensure that our consumers may access our brand in the way that best suits their lifestyles by offering online ordering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We sell our products on </w:t>
      </w:r>
      <w:r>
        <w:rPr>
          <w:rFonts w:ascii="Times New Roman" w:cs="Times New Roman" w:eastAsia="Times New Roman" w:hAnsi="Times New Roman"/>
          <w:sz w:val="18"/>
          <w:szCs w:val="18"/>
          <w:i w:val="1"/>
          <w:iCs w:val="1"/>
          <w:color w:val="auto"/>
        </w:rPr>
        <w:t>Atkins.com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questnutrition.com, Amazon.com</w:t>
      </w:r>
      <w:r>
        <w:rPr>
          <w:rFonts w:ascii="Times New Roman" w:cs="Times New Roman" w:eastAsia="Times New Roman" w:hAnsi="Times New Roman"/>
          <w:sz w:val="18"/>
          <w:szCs w:val="18"/>
          <w:color w:val="auto"/>
        </w:rPr>
        <w:t xml:space="preserve"> and e-commerce platforms of our brick-and-mortar customers, which all deliver our products directly to the location designated by the consumer.</w:t>
      </w:r>
    </w:p>
    <w:p>
      <w:pPr>
        <w:spacing w:after="0" w:line="200" w:lineRule="exact"/>
        <w:rPr>
          <w:sz w:val="20"/>
          <w:szCs w:val="20"/>
          <w:color w:val="auto"/>
        </w:rPr>
      </w:pPr>
    </w:p>
    <w:p>
      <w:pPr>
        <w:jc w:val="both"/>
        <w:ind w:firstLine="23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Food Safety and Quality. </w:t>
      </w:r>
      <w:r>
        <w:rPr>
          <w:rFonts w:ascii="Times New Roman" w:cs="Times New Roman" w:eastAsia="Times New Roman" w:hAnsi="Times New Roman"/>
          <w:sz w:val="18"/>
          <w:szCs w:val="18"/>
          <w:color w:val="auto"/>
        </w:rPr>
        <w:t>Food safety and quality is a top priority, and we dedicate substantial resources to ensure that consumers receive safe,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 In addition, during fiscal year 2022, we obtained ISO 22000 certification for our U.S. operations.</w:t>
      </w:r>
    </w:p>
    <w:p>
      <w:pPr>
        <w:spacing w:after="0" w:line="210"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Our products are also sold outside North America. Our top international sales are in Australia and New Zealand. For the fifty-two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August 27, 2022, international net sales represented approximately 2.9% of total net sales. Our international supply chain is run by a lean team solely focused on international operations. Similar to U.S. operations, international operations utilize contract manufacturers for products, and distributors for distribution and sales.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256" w:lineRule="exact"/>
        <w:rPr>
          <w:sz w:val="20"/>
          <w:szCs w:val="20"/>
          <w:color w:val="auto"/>
        </w:rPr>
      </w:pPr>
    </w:p>
    <w:p>
      <w:pPr>
        <w:jc w:val="both"/>
        <w:ind w:firstLine="267"/>
        <w:spacing w:after="0" w:line="256"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jc w:val="both"/>
        <w:ind w:firstLine="280"/>
        <w:spacing w:after="0" w:line="282"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w:t>
      </w:r>
    </w:p>
    <w:p>
      <w:pPr>
        <w:spacing w:after="0" w:line="189"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8"/>
          <w:szCs w:val="18"/>
          <w:color w:val="auto"/>
        </w:rPr>
        <w:t>Except for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During the fifty-two weeks ended August 27, 2022, we substantially completed our efforts to fully integrate our operations and organization structure after the Quest Acquisition. We aligned the nature of our production processes and the methods used to distribute products to customers for the Atkins® and Quest® brands. We also designed our organizational structure to support entity-wide business functions across brands, products, customers, and geographic regions. Additionally, our chief operating decision maker reviews operating results and forecasts at the consolidated level. As a result, we determined our operations are organized into one, consolidated operating segment and reportable segment.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Compliance</w:t>
      </w:r>
    </w:p>
    <w:p>
      <w:pPr>
        <w:spacing w:after="0" w:line="256" w:lineRule="exact"/>
        <w:rPr>
          <w:sz w:val="20"/>
          <w:szCs w:val="20"/>
          <w:color w:val="auto"/>
        </w:rPr>
      </w:pPr>
    </w:p>
    <w:p>
      <w:pPr>
        <w:jc w:val="both"/>
        <w:ind w:firstLine="258"/>
        <w:spacing w:after="0" w:line="255" w:lineRule="auto"/>
        <w:rPr>
          <w:sz w:val="20"/>
          <w:szCs w:val="20"/>
          <w:color w:val="auto"/>
        </w:rPr>
      </w:pPr>
      <w:r>
        <w:rPr>
          <w:rFonts w:ascii="Times New Roman" w:cs="Times New Roman" w:eastAsia="Times New Roman" w:hAnsi="Times New Roman"/>
          <w:sz w:val="18"/>
          <w:szCs w:val="18"/>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U.S. Food and Drug Administration (“FDA”),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Food-Related Regulations</w:t>
      </w:r>
    </w:p>
    <w:p>
      <w:pPr>
        <w:spacing w:after="0" w:line="254" w:lineRule="exact"/>
        <w:rPr>
          <w:sz w:val="20"/>
          <w:szCs w:val="20"/>
          <w:color w:val="auto"/>
        </w:rPr>
      </w:pPr>
    </w:p>
    <w:p>
      <w:pPr>
        <w:jc w:val="both"/>
        <w:ind w:firstLine="209"/>
        <w:spacing w:after="0" w:line="266" w:lineRule="auto"/>
        <w:rPr>
          <w:sz w:val="20"/>
          <w:szCs w:val="20"/>
          <w:color w:val="auto"/>
        </w:rPr>
      </w:pPr>
      <w:r>
        <w:rPr>
          <w:rFonts w:ascii="Times New Roman" w:cs="Times New Roman" w:eastAsia="Times New Roman" w:hAnsi="Times New Roman"/>
          <w:sz w:val="18"/>
          <w:szCs w:val="18"/>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manufacturing practices for foods through its current good manufacturing practices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standards of identity for certain foods, including many of the products we sell;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prescribes the format and content of certain information required to appear on food product labels.</w:t>
      </w:r>
    </w:p>
    <w:p>
      <w:pPr>
        <w:spacing w:after="0" w:line="234" w:lineRule="exact"/>
        <w:rPr>
          <w:sz w:val="20"/>
          <w:szCs w:val="20"/>
          <w:color w:val="auto"/>
        </w:rPr>
      </w:pPr>
    </w:p>
    <w:p>
      <w:pPr>
        <w:jc w:val="both"/>
        <w:ind w:firstLine="187"/>
        <w:spacing w:after="0" w:line="261" w:lineRule="auto"/>
        <w:rPr>
          <w:sz w:val="20"/>
          <w:szCs w:val="20"/>
          <w:color w:val="auto"/>
        </w:rPr>
      </w:pPr>
      <w:r>
        <w:rPr>
          <w:rFonts w:ascii="Times New Roman" w:cs="Times New Roman" w:eastAsia="Times New Roman" w:hAnsi="Times New Roman"/>
          <w:sz w:val="18"/>
          <w:szCs w:val="18"/>
          <w:color w:val="auto"/>
        </w:rPr>
        <w:t>We are subject to the Food Safety Modernization Act,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54"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249"/>
        <w:spacing w:after="0" w:line="266" w:lineRule="auto"/>
        <w:rPr>
          <w:sz w:val="20"/>
          <w:szCs w:val="20"/>
          <w:color w:val="auto"/>
        </w:rPr>
      </w:pPr>
      <w:r>
        <w:rPr>
          <w:rFonts w:ascii="Times New Roman" w:cs="Times New Roman" w:eastAsia="Times New Roman" w:hAnsi="Times New Roman"/>
          <w:sz w:val="18"/>
          <w:szCs w:val="18"/>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Labeling Regulations</w:t>
      </w:r>
    </w:p>
    <w:p>
      <w:pPr>
        <w:spacing w:after="0" w:line="254" w:lineRule="exact"/>
        <w:rPr>
          <w:sz w:val="20"/>
          <w:szCs w:val="20"/>
          <w:color w:val="auto"/>
        </w:rPr>
      </w:pPr>
    </w:p>
    <w:p>
      <w:pPr>
        <w:jc w:val="both"/>
        <w:ind w:firstLine="257"/>
        <w:spacing w:after="0" w:line="261" w:lineRule="auto"/>
        <w:rPr>
          <w:sz w:val="20"/>
          <w:szCs w:val="20"/>
          <w:color w:val="auto"/>
        </w:rPr>
      </w:pPr>
      <w:r>
        <w:rPr>
          <w:rFonts w:ascii="Times New Roman" w:cs="Times New Roman" w:eastAsia="Times New Roman" w:hAnsi="Times New Roman"/>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56" w:lineRule="exact"/>
        <w:rPr>
          <w:sz w:val="20"/>
          <w:szCs w:val="20"/>
          <w:color w:val="auto"/>
        </w:rPr>
      </w:pPr>
    </w:p>
    <w:p>
      <w:pPr>
        <w:jc w:val="both"/>
        <w:ind w:firstLine="172"/>
        <w:spacing w:after="0" w:line="261" w:lineRule="auto"/>
        <w:rPr>
          <w:sz w:val="20"/>
          <w:szCs w:val="20"/>
          <w:color w:val="auto"/>
        </w:rPr>
      </w:pPr>
      <w:r>
        <w:rPr>
          <w:rFonts w:ascii="Times New Roman" w:cs="Times New Roman" w:eastAsia="Times New Roman" w:hAnsi="Times New Roman"/>
          <w:sz w:val="18"/>
          <w:szCs w:val="18"/>
          <w:color w:val="auto"/>
        </w:rPr>
        <w:t>As of August 27, 2022, our workforce consisted of 260 employees globally who were largely based in an office or in research and development (“R&amp;D”) lab locations. Of that total, approximately 95% of our employees were in the United States, and the rest were in Canada, Europe, Australia, and New Zealand. 111 employees were engaged in marketing and sales, 81 were engaged in R&amp;D, operations and quality, and 68 were engaged in administration. Of our United States employees, 20 employees were hourly and 227 were salaried. No employees were covered by a collective bargaining agreement.</w:t>
      </w:r>
    </w:p>
    <w:p>
      <w:pPr>
        <w:spacing w:after="0" w:line="205"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Mission, Vision and Values. </w:t>
      </w:r>
      <w:r>
        <w:rPr>
          <w:rFonts w:ascii="Times New Roman" w:cs="Times New Roman" w:eastAsia="Times New Roman" w:hAnsi="Times New Roman"/>
          <w:sz w:val="18"/>
          <w:szCs w:val="18"/>
          <w:color w:val="auto"/>
        </w:rPr>
        <w:t>Our mission is to empower healthy lives through smart and satisfying nutrition. Our vision is to lead the nutritious snacking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movement with trusted brands that offer a variety of convenient, innovative, great-tasting, better-for-you snacks and meal replacements. Our values,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Integrity, Lead with Innovation, Succeed through Interdependence, Be Empowered,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Bring Passion Every Day, </w:t>
      </w:r>
      <w:r>
        <w:rPr>
          <w:rFonts w:ascii="Times New Roman" w:cs="Times New Roman" w:eastAsia="Times New Roman" w:hAnsi="Times New Roman"/>
          <w:sz w:val="18"/>
          <w:szCs w:val="18"/>
          <w:color w:val="auto"/>
        </w:rPr>
        <w:t>are critical to our success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fulfilling our mission and vision.</w:t>
      </w:r>
    </w:p>
    <w:p>
      <w:pPr>
        <w:spacing w:after="0" w:line="207"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Training &amp; Development</w:t>
      </w:r>
      <w:r>
        <w:rPr>
          <w:rFonts w:ascii="Times New Roman" w:cs="Times New Roman" w:eastAsia="Times New Roman" w:hAnsi="Times New Roman"/>
          <w:sz w:val="18"/>
          <w:szCs w:val="18"/>
          <w:color w:val="auto"/>
        </w:rPr>
        <w:t>. Training and development is critical to our mission’s success, helps our employees grow their career, and is one way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motivate and retain our employees. We regularly host “Be Empowered” sessions for employees, which are educational classes and networking opportunities that teach our nutrition philosophy and our different business functions. To develop effective and empowered leaders, we host regular trainings and informational sessions.</w:t>
      </w:r>
    </w:p>
    <w:p>
      <w:pPr>
        <w:spacing w:after="0" w:line="209" w:lineRule="exact"/>
        <w:rPr>
          <w:sz w:val="20"/>
          <w:szCs w:val="20"/>
          <w:color w:val="auto"/>
        </w:rPr>
      </w:pPr>
    </w:p>
    <w:p>
      <w:pPr>
        <w:jc w:val="both"/>
        <w:ind w:firstLine="202"/>
        <w:spacing w:after="0" w:line="258" w:lineRule="auto"/>
        <w:rPr>
          <w:sz w:val="20"/>
          <w:szCs w:val="20"/>
          <w:color w:val="auto"/>
        </w:rPr>
      </w:pPr>
      <w:r>
        <w:rPr>
          <w:rFonts w:ascii="Times New Roman" w:cs="Times New Roman" w:eastAsia="Times New Roman" w:hAnsi="Times New Roman"/>
          <w:sz w:val="18"/>
          <w:szCs w:val="18"/>
          <w:color w:val="auto"/>
        </w:rPr>
        <w:t>In our normal performance review cycle, which took place in early fiscal year 2022, 99% of our employees held career discussions with their managers to identify opportunities for development and career progression. Our accelerated mentorship program pairs junior talent with executive leadership, which is designed to broaden talent networks, increases exposure to cross-functional problem solving and builds leadership competencies and impact. Because of these career discussions, the accelerated mentorship program and the talent review process conducted by our senior leadership, during fiscal year 2022, we promoted 11% of our workforce and provided associated compensation increases.</w:t>
      </w:r>
    </w:p>
    <w:p>
      <w:pPr>
        <w:spacing w:after="0" w:line="208"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i w:val="1"/>
          <w:iCs w:val="1"/>
          <w:color w:val="auto"/>
        </w:rPr>
        <w:t>Our Commitment to Diversity, Equity &amp; Inclusion (“DE&amp;I”)</w:t>
      </w:r>
      <w:r>
        <w:rPr>
          <w:rFonts w:ascii="Times New Roman" w:cs="Times New Roman" w:eastAsia="Times New Roman" w:hAnsi="Times New Roman"/>
          <w:sz w:val="18"/>
          <w:szCs w:val="18"/>
          <w:color w:val="auto"/>
        </w:rPr>
        <w:t>. We recognize the importance of a diverse, equitable and inclusive culture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its effect on our ability to achieve our mission, so we have made commitments to track and improve our performance in each of these areas. Our Board of Directors created its Corporate Responsibility &amp; Sustainability committee that has been tasked with, among other things, overseeing human capital resources and all our DE&amp;I initiatives. These initiatives include the following, among others:</w:t>
      </w:r>
    </w:p>
    <w:p>
      <w:pPr>
        <w:spacing w:after="0" w:line="209"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a third-party DE&amp;I consultant to survey our employees and provide guidance and best practice inputs to our management and the Corporate Responsibility &amp; Sustainability Committee, as we continue to make progress on our DE&amp;I efforts.</w:t>
      </w: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2022, we established a Diversity, Equity, Inclusion and Belonging Council consisting of mid-level and senior leaders so our DE&amp;I efforts are informed and led by a cross section of our leaders. Its mission is to foster a positive, open, and trusted culture of belonging where every person feels empowered to bring their unique selves to the workplace resulting in a competitive advantage through thought-leadership and talent growth that halos beyond our workforce to our partners and community, creating an inclusive ecosystem.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 a pay equity audit every fiscal year to evaluate equity in our pay practices and work to address any issues that may arise.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post every open position or promotional opportunity in the United States that is not confidential, and we include the job’s pay range to provide transparency to candidates. This practice provides every qualified candidate an opportunity to apply with knowledge of the range of pay for the role.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interviewing diverse candidates for open corporate leadership positions.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initiatives are included as part of the determination of the discretionary component of our annual short-term incentive program.</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required to attend preventing discrimination and harassment training.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 Juneteenth as a company-paid holiday every year in the United States as a day of reflection, education, and celebration.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179"/>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as of August 27, 2022, the end of our fiscal year, about the representation of women and minorities as a percentage of our employees at various levels of management categories used by our Executive Leadership Team to manage our workforce. This information is also reviewed by our Board of Directors about the representation of women and minorities as a percentage of our employees at various levels of management and our Board of Directors, as of August 27, 2022.</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Female and Minority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20320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1"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3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Female</w:t>
            </w:r>
          </w:p>
        </w:tc>
        <w:tc>
          <w:tcPr>
            <w:tcW w:w="1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Minority</w:t>
            </w:r>
            <w:r>
              <w:rPr>
                <w:rFonts w:ascii="Times New Roman" w:cs="Times New Roman" w:eastAsia="Times New Roman" w:hAnsi="Times New Roman"/>
                <w:sz w:val="21"/>
                <w:szCs w:val="21"/>
                <w:color w:val="auto"/>
                <w:vertAlign w:val="superscript"/>
              </w:rPr>
              <w:t>1</w:t>
            </w: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Employees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32%</w:t>
            </w:r>
          </w:p>
        </w:tc>
      </w:tr>
      <w:tr>
        <w:trPr>
          <w:trHeight w:val="26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People-leaders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19%</w:t>
            </w:r>
          </w:p>
        </w:tc>
      </w:tr>
      <w:tr>
        <w:trPr>
          <w:trHeight w:val="27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Director-level</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r>
      <w:tr>
        <w:trPr>
          <w:trHeight w:val="26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VP-level</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r>
      <w:tr>
        <w:trPr>
          <w:trHeight w:val="27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Leadership Team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r>
    </w:tbl>
    <w:p>
      <w:pPr>
        <w:spacing w:after="0" w:line="19" w:lineRule="exact"/>
        <w:rPr>
          <w:sz w:val="20"/>
          <w:szCs w:val="20"/>
          <w:color w:val="auto"/>
        </w:rPr>
      </w:pPr>
    </w:p>
    <w:p>
      <w:pPr>
        <w:ind w:left="1440" w:right="1680" w:hanging="10"/>
        <w:spacing w:after="0" w:line="225" w:lineRule="auto"/>
        <w:tabs>
          <w:tab w:leader="none" w:pos="1533"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Minority representation includes the percent of United States employees who identify as Black or African American, Asian, Hispanic, Native American, or two or more races.</w:t>
      </w:r>
    </w:p>
    <w:p>
      <w:pPr>
        <w:spacing w:after="0" w:line="353"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for the period December 1, 2021 through December 15, 2021in our 2021 EEO-1 report. We have condensed the EEO-1 report to eliminate rows and columns that have no employees in this report or in the previous year’s report total. This table shows our gender, racial, and ethnic composition by EEO-1 job category as set forth in the Section D Employment Data section of the Consolidated EEO-1 Report that we filed with the U.S. Equal Employment Opportunity Commission (EEOC) in 2022. The information is provided for the time period that is consistent with the report’s filing instructions.</w:t>
      </w:r>
    </w:p>
    <w:p>
      <w:pPr>
        <w:spacing w:after="0" w:line="236"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color w:val="auto"/>
              </w:rPr>
              <w:t>Not-Hispanic or Latino</w:t>
            </w:r>
          </w:p>
        </w:tc>
        <w:tc>
          <w:tcPr>
            <w:tcW w:w="7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Hispanic or</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Male</w:t>
            </w:r>
          </w:p>
        </w:tc>
        <w:tc>
          <w:tcPr>
            <w:tcW w:w="7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Female</w:t>
            </w:r>
          </w:p>
        </w:tc>
        <w:tc>
          <w:tcPr>
            <w:tcW w:w="6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Latino</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Black or</w:t>
            </w:r>
          </w:p>
        </w:tc>
        <w:tc>
          <w:tcPr>
            <w:tcW w:w="6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American</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Two or</w:t>
            </w: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Black or</w:t>
            </w:r>
          </w:p>
        </w:tc>
        <w:tc>
          <w:tcPr>
            <w:tcW w:w="7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Native</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Two or</w:t>
            </w:r>
          </w:p>
        </w:tc>
        <w:tc>
          <w:tcPr>
            <w:tcW w:w="6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Indian or</w:t>
            </w:r>
          </w:p>
        </w:tc>
        <w:tc>
          <w:tcPr>
            <w:tcW w:w="62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Hawaiian</w:t>
            </w:r>
          </w:p>
        </w:tc>
        <w:tc>
          <w:tcPr>
            <w:tcW w:w="62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Overall</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Job Categories</w:t>
            </w:r>
          </w:p>
        </w:tc>
        <w:tc>
          <w:tcPr>
            <w:tcW w:w="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Male</w:t>
            </w:r>
          </w:p>
        </w:tc>
        <w:tc>
          <w:tcPr>
            <w:tcW w:w="6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Female</w:t>
            </w:r>
          </w:p>
        </w:tc>
        <w:tc>
          <w:tcPr>
            <w:tcW w:w="6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White</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African</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Asian</w:t>
            </w:r>
          </w:p>
        </w:tc>
        <w:tc>
          <w:tcPr>
            <w:tcW w:w="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Alaskan</w:t>
            </w:r>
          </w:p>
        </w:tc>
        <w:tc>
          <w:tcPr>
            <w:tcW w:w="6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More</w:t>
            </w:r>
          </w:p>
        </w:tc>
        <w:tc>
          <w:tcPr>
            <w:tcW w:w="6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White</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African</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or Pacific</w:t>
            </w:r>
          </w:p>
        </w:tc>
        <w:tc>
          <w:tcPr>
            <w:tcW w:w="6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Asian</w:t>
            </w:r>
          </w:p>
        </w:tc>
        <w:tc>
          <w:tcPr>
            <w:tcW w:w="6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More</w:t>
            </w:r>
          </w:p>
        </w:tc>
        <w:tc>
          <w:tcPr>
            <w:tcW w:w="6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40" w:type="dxa"/>
            <w:vAlign w:val="bottom"/>
            <w:tcBorders>
              <w:right w:val="single" w:sz="8" w:color="auto"/>
            </w:tcBorders>
            <w:gridSpan w:val="2"/>
            <w:vMerge w:val="continue"/>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w:t>
            </w:r>
          </w:p>
        </w:tc>
        <w:tc>
          <w:tcPr>
            <w:tcW w:w="620" w:type="dxa"/>
            <w:vAlign w:val="bottom"/>
            <w:tcBorders>
              <w:right w:val="single" w:sz="8" w:color="auto"/>
            </w:tcBorders>
            <w:vMerge w:val="continue"/>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Native</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Races</w:t>
            </w:r>
          </w:p>
        </w:tc>
        <w:tc>
          <w:tcPr>
            <w:tcW w:w="640" w:type="dxa"/>
            <w:vAlign w:val="bottom"/>
            <w:tcBorders>
              <w:right w:val="single" w:sz="8" w:color="auto"/>
            </w:tcBorders>
            <w:vMerge w:val="continue"/>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Islander</w:t>
            </w:r>
          </w:p>
        </w:tc>
        <w:tc>
          <w:tcPr>
            <w:tcW w:w="620" w:type="dxa"/>
            <w:vAlign w:val="bottom"/>
            <w:tcBorders>
              <w:right w:val="single" w:sz="8" w:color="auto"/>
            </w:tcBorders>
            <w:vMerge w:val="continue"/>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Races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Totals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2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Executives/Senior</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80" w:type="dxa"/>
            <w:vAlign w:val="bottom"/>
            <w:tcBorders>
              <w:top w:val="single" w:sz="8" w:color="auto"/>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600" w:type="dxa"/>
            <w:vAlign w:val="bottom"/>
            <w:tcBorders>
              <w:top w:val="single" w:sz="8" w:color="auto"/>
              <w:right w:val="single" w:sz="8" w:color="CCEEFF"/>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Officials &amp;</w:t>
            </w:r>
          </w:p>
        </w:tc>
        <w:tc>
          <w:tcPr>
            <w:tcW w:w="5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7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7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Managers</w:t>
            </w: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60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First/Mid</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Officials &amp;</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Managers</w:t>
            </w:r>
          </w:p>
        </w:tc>
        <w:tc>
          <w:tcPr>
            <w:tcW w:w="5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Professionals</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Technicians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Workers</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Administrative</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Support</w:t>
            </w:r>
          </w:p>
        </w:tc>
        <w:tc>
          <w:tcPr>
            <w:tcW w:w="5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6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6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6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7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6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Previous Report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40" w:type="dxa"/>
            <w:vAlign w:val="bottom"/>
            <w:gridSpan w:val="2"/>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Employee Culture</w:t>
      </w:r>
      <w:r>
        <w:rPr>
          <w:rFonts w:ascii="Times New Roman" w:cs="Times New Roman" w:eastAsia="Times New Roman" w:hAnsi="Times New Roman"/>
          <w:sz w:val="18"/>
          <w:szCs w:val="18"/>
          <w:color w:val="auto"/>
        </w:rPr>
        <w:t>. We regularly ask our employees to respond to pulse surveys to gather feedback on topics ranging from organization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engagement and inclusion. This encourages open communication with employees and management, and tracks employee engagement over time. We use the information we gain from the surveys to inform our strategy and actions as we continue to work towards improving our culture. We have also committed to summarizing results for each survey and providing responses quickly after the surveys close.</w:t>
      </w:r>
    </w:p>
    <w:p>
      <w:pPr>
        <w:spacing w:after="0" w:line="207"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Rewards. </w:t>
      </w:r>
      <w:r>
        <w:rPr>
          <w:rFonts w:ascii="Times New Roman" w:cs="Times New Roman" w:eastAsia="Times New Roman" w:hAnsi="Times New Roman"/>
          <w:sz w:val="18"/>
          <w:szCs w:val="18"/>
          <w:color w:val="auto"/>
        </w:rPr>
        <w:t>The health, satisfaction and security of our employees and their families are important to us and an important part of reaching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jc w:val="both"/>
        <w:ind w:firstLine="208"/>
        <w:spacing w:after="0" w:line="261" w:lineRule="auto"/>
        <w:rPr>
          <w:sz w:val="20"/>
          <w:szCs w:val="20"/>
          <w:color w:val="auto"/>
        </w:rPr>
      </w:pPr>
      <w:r>
        <w:rPr>
          <w:rFonts w:ascii="Times New Roman" w:cs="Times New Roman" w:eastAsia="Times New Roman" w:hAnsi="Times New Roman"/>
          <w:sz w:val="18"/>
          <w:szCs w:val="18"/>
          <w:color w:val="auto"/>
        </w:rPr>
        <w:t>We understand that each employee's situation is unique, so we offer benefits that can be shaped and molded by each employee to fit their individual or family's needs. Our current benefits vary by region, but generally include medical, dental and vision insurance, 401(k) retirement plan, savings accounts, life and disability insurance coverage, free mental telehealth support, and other voluntary benefits. We also offer time-off benefits including vacation time, flexible vacation for exempt positions, sick leave, and paid parental leave.</w:t>
      </w:r>
    </w:p>
    <w:p>
      <w:pPr>
        <w:spacing w:after="0" w:line="205" w:lineRule="exact"/>
        <w:rPr>
          <w:sz w:val="20"/>
          <w:szCs w:val="20"/>
          <w:color w:val="auto"/>
        </w:rPr>
      </w:pPr>
    </w:p>
    <w:p>
      <w:pPr>
        <w:jc w:val="both"/>
        <w:ind w:right="20" w:firstLine="20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Safety and Wellbeing Measures. </w:t>
      </w:r>
      <w:r>
        <w:rPr>
          <w:rFonts w:ascii="Times New Roman" w:cs="Times New Roman" w:eastAsia="Times New Roman" w:hAnsi="Times New Roman"/>
          <w:sz w:val="18"/>
          <w:szCs w:val="18"/>
          <w:color w:val="auto"/>
        </w:rPr>
        <w:t>After over two years of working remotely due to the COVID-19 pandemic, we returned to our offices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on May 31, 2022. In continuing our focus on keeping our teams safe, we continue to follow local regulations for each of our offices.</w:t>
      </w:r>
    </w:p>
    <w:p>
      <w:pPr>
        <w:spacing w:after="0" w:line="187" w:lineRule="exact"/>
        <w:rPr>
          <w:sz w:val="20"/>
          <w:szCs w:val="20"/>
          <w:color w:val="auto"/>
        </w:rPr>
      </w:pPr>
    </w:p>
    <w:p>
      <w:pPr>
        <w:jc w:val="both"/>
        <w:ind w:firstLine="197"/>
        <w:spacing w:after="0" w:line="266" w:lineRule="auto"/>
        <w:rPr>
          <w:sz w:val="20"/>
          <w:szCs w:val="20"/>
          <w:color w:val="auto"/>
        </w:rPr>
      </w:pPr>
      <w:r>
        <w:rPr>
          <w:rFonts w:ascii="Times New Roman" w:cs="Times New Roman" w:eastAsia="Times New Roman" w:hAnsi="Times New Roman"/>
          <w:sz w:val="18"/>
          <w:szCs w:val="18"/>
          <w:color w:val="auto"/>
        </w:rPr>
        <w:t>We recognize the importance of balance in our employees’ lives to their overall wellbeing, so we offer our employees time off benefits described above to recharge, ten company-paid holidays per year, flexible remote workdays every Monday and Friday, and paid parental leave. We also had one company-wide mental health day in April 2022 and encouraged employees to take extra time away from work to recharge in late December 2021.</w:t>
      </w:r>
    </w:p>
    <w:p>
      <w:pPr>
        <w:spacing w:after="0" w:line="201" w:lineRule="exact"/>
        <w:rPr>
          <w:sz w:val="20"/>
          <w:szCs w:val="20"/>
          <w:color w:val="auto"/>
        </w:rPr>
      </w:pPr>
    </w:p>
    <w:p>
      <w:pPr>
        <w:jc w:val="both"/>
        <w:ind w:firstLine="2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Advancing Health, Nutrition and Wellbeing. </w:t>
      </w:r>
      <w:r>
        <w:rPr>
          <w:rFonts w:ascii="Times New Roman" w:cs="Times New Roman" w:eastAsia="Times New Roman" w:hAnsi="Times New Roman"/>
          <w:sz w:val="18"/>
          <w:szCs w:val="18"/>
          <w:color w:val="auto"/>
        </w:rPr>
        <w:t>Our mission is to empower healthy lives through smart and satisfying nutrition. We believe we play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role in helping to improve nutrition and overall wellness in the United States through scientific research, education, advocacy and community engagement.</w:t>
      </w:r>
    </w:p>
    <w:p>
      <w:pPr>
        <w:spacing w:after="0" w:line="202" w:lineRule="exact"/>
        <w:rPr>
          <w:sz w:val="20"/>
          <w:szCs w:val="20"/>
          <w:color w:val="auto"/>
        </w:rPr>
      </w:pPr>
    </w:p>
    <w:p>
      <w:pPr>
        <w:jc w:val="both"/>
        <w:ind w:firstLine="211"/>
        <w:spacing w:after="0" w:line="255" w:lineRule="auto"/>
        <w:rPr>
          <w:sz w:val="20"/>
          <w:szCs w:val="20"/>
          <w:color w:val="auto"/>
        </w:rPr>
      </w:pPr>
      <w:r>
        <w:rPr>
          <w:rFonts w:ascii="Times New Roman" w:cs="Times New Roman" w:eastAsia="Times New Roman" w:hAnsi="Times New Roman"/>
          <w:sz w:val="18"/>
          <w:szCs w:val="18"/>
          <w:color w:val="auto"/>
        </w:rPr>
        <w:t>Since 2016, we have advocated with various branches of the U.S. federal government to encourage more inclusive guidance in the U.S. Department of Agriculture’s and U.S. Department of Health and Human Services’ Dietary Guidelines for Americans (the “Dietary Guidelines”), which is released every five years. Our goal is to expand the Dietary Guidelines to offer solutions for more Americans, including the more than half of the U.S. population suffering from negative metabolic-related conditions such as cardiovascular disease, prediabetes, diabetes and obesity. We also believe expanding the Dietary Guidelines would help to address health equity in many underserved populations in the United States who have higher rates of metabolic-related diseases. The advocacy work we have done is aligned with recent guidance issued by major health organizations such as the American Diabetes Association and the American Heart Association, both of which recommend a lower carbohydrate dietary approach as an option for those with diabetes.</w:t>
      </w:r>
    </w:p>
    <w:p>
      <w:pPr>
        <w:spacing w:after="0" w:line="216"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8"/>
          <w:szCs w:val="18"/>
          <w:color w:val="auto"/>
        </w:rPr>
        <w:t>Our public policy advocacy includes presenting significant scientific research comprised of several hundred, peer-reviewed clinical studies in numerous meetings with policymakers, congresspeople, and decision-makers in the U.S. Department of Agriculture and the U.S. Department of Health and Human Services. In addition, we have sponsored numerous continuing education courses for registered dieticians and other healthcare professionals, and we are a member of multiple collaborative groups focused on improving the nutritional quality of the U.S. food system.</w:t>
      </w:r>
    </w:p>
    <w:p>
      <w:pPr>
        <w:spacing w:after="0" w:line="207" w:lineRule="exact"/>
        <w:rPr>
          <w:sz w:val="20"/>
          <w:szCs w:val="20"/>
          <w:color w:val="auto"/>
        </w:rPr>
      </w:pPr>
    </w:p>
    <w:p>
      <w:pPr>
        <w:jc w:val="both"/>
        <w:ind w:firstLine="274"/>
        <w:spacing w:after="0" w:line="255"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Through our websites and social media, we also share educational information to explain each brand’s approach to nutrition, teaching consumers how to make smarter food choices and the nutritional qualities of our nutritional approach and our products. Our Atkins website also offers free of charge information regarding the Atkins protein-rich, low-carbohydrate and low-sugar approach to eating, several tools to assist consumers in pursuing the Atkins approach and over 1,600 recipes designed to help consumers achieve and maintain a healthy lifestyle, while still enjoying delicious food.</w:t>
      </w:r>
    </w:p>
    <w:p>
      <w:pPr>
        <w:spacing w:after="0" w:line="216" w:lineRule="exact"/>
        <w:rPr>
          <w:sz w:val="20"/>
          <w:szCs w:val="20"/>
          <w:color w:val="auto"/>
        </w:rPr>
      </w:pPr>
    </w:p>
    <w:p>
      <w:pPr>
        <w:jc w:val="both"/>
        <w:ind w:firstLine="182"/>
        <w:spacing w:after="0" w:line="256" w:lineRule="auto"/>
        <w:rPr>
          <w:sz w:val="20"/>
          <w:szCs w:val="20"/>
          <w:color w:val="auto"/>
        </w:rPr>
      </w:pPr>
      <w:r>
        <w:rPr>
          <w:rFonts w:ascii="Times New Roman" w:cs="Times New Roman" w:eastAsia="Times New Roman" w:hAnsi="Times New Roman"/>
          <w:sz w:val="18"/>
          <w:szCs w:val="18"/>
          <w:color w:val="auto"/>
        </w:rPr>
        <w:t>In late 2021, we launched The Quest Challenge, a grant program for individuals who are making a difference in their community in support of health and wellness. In our inaugural year, we provided four separate $20,000 grants. The Quest Challenge grant was awarded following a competitive process in which applicants expressed their current philanthropic work and what they aim to achieve if they received the grant. Recipients of this year’s grant have used this money to improve the health and wellbeing of underserved and at-risk children, create safe spaces for children to play or learn a new skill, and encourage physical and artistic activities to build confidence and self-esteem. We will continue to follow the progress of our past recipients and their effect on their communities.</w:t>
      </w:r>
    </w:p>
    <w:p>
      <w:pPr>
        <w:spacing w:after="0" w:line="214" w:lineRule="exact"/>
        <w:rPr>
          <w:sz w:val="20"/>
          <w:szCs w:val="20"/>
          <w:color w:val="auto"/>
        </w:rPr>
      </w:pPr>
    </w:p>
    <w:p>
      <w:pPr>
        <w:jc w:val="both"/>
        <w:ind w:firstLine="234"/>
        <w:spacing w:after="0" w:line="261" w:lineRule="auto"/>
        <w:rPr>
          <w:sz w:val="20"/>
          <w:szCs w:val="20"/>
          <w:color w:val="auto"/>
        </w:rPr>
      </w:pPr>
      <w:r>
        <w:rPr>
          <w:rFonts w:ascii="Times New Roman" w:cs="Times New Roman" w:eastAsia="Times New Roman" w:hAnsi="Times New Roman"/>
          <w:sz w:val="18"/>
          <w:szCs w:val="18"/>
          <w:color w:val="auto"/>
        </w:rPr>
        <w:t>For the second year, we participated in Walmart’s “Fight Hunger. Spark Change.” campaign. For each purchase of participating Simply Good Foods’ Atkins and Quest products at Walmart from April 18 – May 15, 2022, we donated the monetary equivalent of at least one meal to Feeding America. Through this program, Simply Good Foods secured at least 500,000 meals for Feeding America. Additionally, we encourage and support our employees to give back to charities they are passionate about, and we match up to $100 of each employee’s donations.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w:t>
      </w:r>
    </w:p>
    <w:p>
      <w:pPr>
        <w:spacing w:after="0" w:line="252" w:lineRule="exact"/>
        <w:rPr>
          <w:sz w:val="20"/>
          <w:szCs w:val="20"/>
          <w:color w:val="auto"/>
        </w:rPr>
      </w:pPr>
    </w:p>
    <w:p>
      <w:pPr>
        <w:jc w:val="both"/>
        <w:ind w:firstLine="244"/>
        <w:spacing w:after="0" w:line="266" w:lineRule="auto"/>
        <w:rPr>
          <w:sz w:val="20"/>
          <w:szCs w:val="20"/>
          <w:color w:val="auto"/>
        </w:rPr>
      </w:pPr>
      <w:r>
        <w:rPr>
          <w:rFonts w:ascii="Times New Roman" w:cs="Times New Roman" w:eastAsia="Times New Roman" w:hAnsi="Times New Roman"/>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which are available free of charge. The address of this Internet 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201"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free of charge through our website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28"/>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operations are dependent on a global supply chain and effects of supply chain constraints and inflationary pressure on us or our suppliers could adversely affect our operating results.</w:t>
      </w:r>
    </w:p>
    <w:p>
      <w:pPr>
        <w:spacing w:after="0" w:line="186" w:lineRule="exact"/>
        <w:rPr>
          <w:sz w:val="20"/>
          <w:szCs w:val="20"/>
          <w:color w:val="auto"/>
        </w:rPr>
      </w:pPr>
    </w:p>
    <w:p>
      <w:pPr>
        <w:jc w:val="both"/>
        <w:ind w:firstLine="192"/>
        <w:spacing w:after="0" w:line="256" w:lineRule="auto"/>
        <w:rPr>
          <w:sz w:val="20"/>
          <w:szCs w:val="20"/>
          <w:color w:val="auto"/>
        </w:rPr>
      </w:pPr>
      <w:r>
        <w:rPr>
          <w:rFonts w:ascii="Times New Roman" w:cs="Times New Roman" w:eastAsia="Times New Roman" w:hAnsi="Times New Roman"/>
          <w:sz w:val="18"/>
          <w:szCs w:val="18"/>
          <w:color w:val="auto"/>
        </w:rPr>
        <w:t>Our operations and the operations of our contract manufacturers have been, and may continue to be, affected by supply chain constraints and packaging, ingredient and labor shortages, resulting in increased costs caused, in part, by the COVID-19 pandemic, the uncertain economic environment, and macroeconomic and geopolitical events and trends. In addition, current or future governmental policies may increase the risk of further inflation, which could further increase the costs of ingredients, packaging and finished goods for our business. Similarly, if costs of goods and labor continue to increase, our suppliers may continue to seek price increases from us. If we cannot mitigate the effect of supply chain constraints and inflationary pressure through price increases or cost saving measures, our results of operations and financial condition could be negatively affected.</w:t>
      </w:r>
    </w:p>
    <w:p>
      <w:pPr>
        <w:spacing w:after="0" w:line="214" w:lineRule="exact"/>
        <w:rPr>
          <w:sz w:val="20"/>
          <w:szCs w:val="20"/>
          <w:color w:val="auto"/>
        </w:rPr>
      </w:pPr>
    </w:p>
    <w:p>
      <w:pPr>
        <w:jc w:val="both"/>
        <w:ind w:firstLine="187"/>
        <w:spacing w:after="0" w:line="254" w:lineRule="auto"/>
        <w:rPr>
          <w:sz w:val="20"/>
          <w:szCs w:val="20"/>
          <w:color w:val="auto"/>
        </w:rPr>
      </w:pPr>
      <w:r>
        <w:rPr>
          <w:rFonts w:ascii="Times New Roman" w:cs="Times New Roman" w:eastAsia="Times New Roman" w:hAnsi="Times New Roman"/>
          <w:sz w:val="18"/>
          <w:szCs w:val="18"/>
          <w:color w:val="auto"/>
        </w:rPr>
        <w:t>Even if we can raise the prices of our products, consumers might react negatively to these price increases, which could have a material adverse effect on, among other things, our brands, reputation, and sales. If our competitors maintain or lower their prices while we raise prices, we may lose customers or the purchase frequency of our products may slow, which would both adversely affect sales. Our profitability may be negatively affected by higher costs, inadequate pricing or a reduction in purchase frequencies of our products, which may negatively affect gross margins and sales. Even though we are working to alleviate supply chain constraints through various measures, we cannot predict the effect of these constraints on the timing of revenue and operating costs of our business in the near future. Supply chain challenges and supply chain constraints relating to ingredients, freight and packaging, including cost inflation, have negatively affected our gross margins and profitability during fiscal year 2022 and may continue to have a negative effect on our future operating results and profitability. In addition, p</w:t>
      </w:r>
      <w:r>
        <w:rPr>
          <w:rFonts w:ascii="Times New Roman" w:cs="Times New Roman" w:eastAsia="Times New Roman" w:hAnsi="Times New Roman"/>
          <w:sz w:val="18"/>
          <w:szCs w:val="18"/>
          <w:color w:val="212529"/>
        </w:rPr>
        <w:t>rolonged unfavorable economic conditions, including because of COVID-19 or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outbreaks, endemics or pandemics, and any resulting recession or slowed economic growth, may have an adverse effect on our sales and profitability.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or increase prices of our products to cover elevated input costs, our margins may decrease.</w:t>
      </w:r>
    </w:p>
    <w:p>
      <w:pPr>
        <w:spacing w:after="0" w:line="256"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We rely, in part, on price increases to offset cost increases and maintain or improve the profitability of our business. Our ability to maintain prices or effectively implement price increases, including our price increases effective in fiscal year 2022, may be affected by several factors, including competition, effectiveness of our marketing programs, the continuing strength of our brands, market demand and general economic conditions, including broader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or must increase trade and promotional activity, our margins may be adversely affected. For more information on the implementation of our price increases and the effects of supply chain cost increases on our profitability during fiscal year 2022, see “Management’s Discussion and Analysis of Financial Condition and Results of Operations” in this Form 10-K. Furthermore, price increases generally result in volume losses, as consumers tend to purchase fewer units at higher price points. If such losses are greater than expected or if we lose distribution due to price increases, our business, financial condition and results of operations may be materially and adversely affected.</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Pandemics, epidemics or disease outbreaks, such as the novel coronavirus (“COVID-19”), have in the past and may in the future disrupt our business, including, among other things, consumption and trade patterns, our supply chain and production processes, each of which could materially affect our operations, liquidity, financial condition and results of operations.</w:t>
      </w:r>
    </w:p>
    <w:p>
      <w:pPr>
        <w:spacing w:after="0" w:line="202" w:lineRule="exact"/>
        <w:rPr>
          <w:sz w:val="20"/>
          <w:szCs w:val="20"/>
          <w:color w:val="auto"/>
        </w:rPr>
      </w:pPr>
    </w:p>
    <w:p>
      <w:pPr>
        <w:jc w:val="both"/>
        <w:ind w:firstLine="274"/>
        <w:spacing w:after="0" w:line="258" w:lineRule="auto"/>
        <w:rPr>
          <w:sz w:val="20"/>
          <w:szCs w:val="20"/>
          <w:color w:val="auto"/>
        </w:rPr>
      </w:pPr>
      <w:r>
        <w:rPr>
          <w:rFonts w:ascii="Times New Roman" w:cs="Times New Roman" w:eastAsia="Times New Roman" w:hAnsi="Times New Roman"/>
          <w:sz w:val="18"/>
          <w:szCs w:val="18"/>
          <w:color w:val="212529"/>
        </w:rPr>
        <w:t>The actual or perceived effects of a disease outbreak, epidemic, pandemic or similar widespread public health concern, such as COVID-19, could negatively affect our operations, liquidity, financial condition and results of operations. The COVID-19 pandemic situation continues to remain dynamic and subject to rapid and possibly material change, including but not limited to changes that may materially affect the operations of our customers and supply chain partners in the future, which ultimately could cause material negative effects on our business and results of operations. For example, the operations of several of our contract manufacturers were affected by the COVID-19 pandemic’s effect on the availability of labor.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193"/>
        <w:spacing w:after="0" w:line="256" w:lineRule="auto"/>
        <w:rPr>
          <w:sz w:val="20"/>
          <w:szCs w:val="20"/>
          <w:color w:val="auto"/>
        </w:rPr>
      </w:pPr>
      <w:r>
        <w:rPr>
          <w:rFonts w:ascii="Times New Roman" w:cs="Times New Roman" w:eastAsia="Times New Roman" w:hAnsi="Times New Roman"/>
          <w:sz w:val="18"/>
          <w:szCs w:val="18"/>
          <w:color w:val="212529"/>
        </w:rPr>
        <w:t>Pandemics, epidemics or disease outbreaks may affect demand for our products because quarantines or other government restrictions on movement may cause erratic consumer purchase behavior. Our business experienced these effects during fiscal year 2022 as described in more detail in “Management’s Discussion and Analysis of Financial Condition and Results of Operations” in this Form 10-K Governmental or societal impositions of restrictions on public gatherings, especially if prolonged, may have adverse effects on consumption rates and in-person traffic to retail stores and, in turn, our business. Even the perceived risk of infection or health risk may adversely affect traffic to our store-based retail customers and, in turn, our business, liquidity, financial condition and results of operations, particularly if any mobility restrictions are in place for significant time.</w:t>
      </w:r>
    </w:p>
    <w:p>
      <w:pPr>
        <w:spacing w:after="0" w:line="214" w:lineRule="exact"/>
        <w:rPr>
          <w:sz w:val="20"/>
          <w:szCs w:val="20"/>
          <w:color w:val="auto"/>
        </w:rPr>
      </w:pPr>
    </w:p>
    <w:p>
      <w:pPr>
        <w:jc w:val="both"/>
        <w:ind w:firstLine="234"/>
        <w:spacing w:after="0" w:line="253" w:lineRule="auto"/>
        <w:rPr>
          <w:sz w:val="20"/>
          <w:szCs w:val="20"/>
          <w:color w:val="auto"/>
        </w:rPr>
      </w:pPr>
      <w:r>
        <w:rPr>
          <w:rFonts w:ascii="Times New Roman" w:cs="Times New Roman" w:eastAsia="Times New Roman" w:hAnsi="Times New Roman"/>
          <w:sz w:val="18"/>
          <w:szCs w:val="18"/>
          <w:color w:val="212529"/>
        </w:rPr>
        <w:t>The spread of pandemics, epidemics or disease outbreaks such as COVID-19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For example, the operations of several of our contract manufacturers were affected by the COVID-19 pandemic’s effect on the availability of labor. Ports and other channels of entry may be closed or operate at only a portion of capacity, as workers may be prohibited or otherwise unable to report to work and means of transporting products within regions or countries may be limited for the same reason. Because of the COVID-19 pandemic, transport restrictions have been put in place and global supply was and may become again in the future constrained, each of which may cause and have caused price increases or shortages of certain ingredients and raw materials used in our products. In addition we may experience disruptions to our operations. Further, our contract manufacturers’ ability to manufacture our products was, and may again in the future be, impaired by disruption to their employee staffing, procurement, manufacturing, or warehousing capabilities because of COVID-19 or similar outbreaks.</w:t>
      </w:r>
    </w:p>
    <w:p>
      <w:pPr>
        <w:spacing w:after="0" w:line="221" w:lineRule="exact"/>
        <w:rPr>
          <w:sz w:val="20"/>
          <w:szCs w:val="20"/>
          <w:color w:val="auto"/>
        </w:rPr>
      </w:pPr>
    </w:p>
    <w:p>
      <w:pPr>
        <w:jc w:val="both"/>
        <w:ind w:firstLine="220"/>
        <w:spacing w:after="0" w:line="256" w:lineRule="auto"/>
        <w:rPr>
          <w:sz w:val="20"/>
          <w:szCs w:val="20"/>
          <w:color w:val="auto"/>
        </w:rPr>
      </w:pPr>
      <w:r>
        <w:rPr>
          <w:rFonts w:ascii="Times New Roman" w:cs="Times New Roman" w:eastAsia="Times New Roman" w:hAnsi="Times New Roman"/>
          <w:sz w:val="18"/>
          <w:szCs w:val="18"/>
          <w:color w:val="212529"/>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the COVID-19 pandemic or similar situations. Retailers may also alter their normal inventory receiving and product restocking practices during pandemics, epidemics or disease outbreaks such as COVID-19, which may negatively affect our business.</w:t>
      </w:r>
    </w:p>
    <w:p>
      <w:pPr>
        <w:spacing w:after="0" w:line="214" w:lineRule="exact"/>
        <w:rPr>
          <w:sz w:val="20"/>
          <w:szCs w:val="20"/>
          <w:color w:val="auto"/>
        </w:rPr>
      </w:pPr>
    </w:p>
    <w:p>
      <w:pPr>
        <w:jc w:val="both"/>
        <w:ind w:firstLine="261"/>
        <w:spacing w:after="0" w:line="258" w:lineRule="auto"/>
        <w:rPr>
          <w:sz w:val="20"/>
          <w:szCs w:val="20"/>
          <w:color w:val="auto"/>
        </w:rPr>
      </w:pPr>
      <w:r>
        <w:rPr>
          <w:rFonts w:ascii="Times New Roman" w:cs="Times New Roman" w:eastAsia="Times New Roman" w:hAnsi="Times New Roman"/>
          <w:sz w:val="18"/>
          <w:szCs w:val="18"/>
          <w:color w:val="212529"/>
        </w:rPr>
        <w:t>Workforce limitations and travel restrictions resulting from pandemics, epidemics or disease outbreaks such as COVID-19 and related government actions may affect many aspects of our business. If a significant percentage of our workforce cannot work or we cannot visit our contract manufacturers’ locations, including because of illness, travel or government restrictions related to pandemics or disease outbreaks, our operations may be negatively affected. In addition, pandemics or disease outbreaks could cause a widespread health crisis that could adversely affect the economies and financial markets of many countries where we offer products, resulting in an economic downturn that could affect customers’ and consumers’ demand for our products.</w:t>
      </w:r>
    </w:p>
    <w:p>
      <w:pPr>
        <w:spacing w:after="0" w:line="210" w:lineRule="exact"/>
        <w:rPr>
          <w:sz w:val="20"/>
          <w:szCs w:val="20"/>
          <w:color w:val="auto"/>
        </w:rPr>
      </w:pPr>
    </w:p>
    <w:p>
      <w:pPr>
        <w:jc w:val="both"/>
        <w:ind w:firstLine="261"/>
        <w:spacing w:after="0" w:line="266" w:lineRule="auto"/>
        <w:rPr>
          <w:sz w:val="20"/>
          <w:szCs w:val="20"/>
          <w:color w:val="auto"/>
        </w:rPr>
      </w:pPr>
      <w:r>
        <w:rPr>
          <w:rFonts w:ascii="Times New Roman" w:cs="Times New Roman" w:eastAsia="Times New Roman" w:hAnsi="Times New Roman"/>
          <w:sz w:val="18"/>
          <w:szCs w:val="18"/>
          <w:color w:val="212529"/>
        </w:rPr>
        <w:t>Adverse and uncertain economic conditions, such as decreases in per capita income and level of disposable income, increased unemployment or a decline in consumer confidence because of the COVID-19 pandemic or similar situations, could have an adverse effect on distributor, retailer and consumer demand for our products. Consumers may shift purchases to lower-priced or other perceived value offerings during economic downturns.</w:t>
      </w:r>
    </w:p>
    <w:p>
      <w:pPr>
        <w:spacing w:after="0" w:line="203" w:lineRule="exact"/>
        <w:rPr>
          <w:sz w:val="20"/>
          <w:szCs w:val="20"/>
          <w:color w:val="auto"/>
        </w:rPr>
      </w:pPr>
    </w:p>
    <w:p>
      <w:pPr>
        <w:jc w:val="both"/>
        <w:ind w:firstLine="265"/>
        <w:spacing w:after="0" w:line="256" w:lineRule="auto"/>
        <w:rPr>
          <w:sz w:val="20"/>
          <w:szCs w:val="20"/>
          <w:color w:val="auto"/>
        </w:rPr>
      </w:pPr>
      <w:r>
        <w:rPr>
          <w:rFonts w:ascii="Times New Roman" w:cs="Times New Roman" w:eastAsia="Times New Roman" w:hAnsi="Times New Roman"/>
          <w:sz w:val="18"/>
          <w:szCs w:val="18"/>
          <w:color w:val="auto"/>
        </w:rPr>
        <w:t>Our consolidated results of operations for the full fiscal year ended August 27, 2022 were affected by ongoing changes in consumer shopping and consumption behavior likely due, in part, to COVID-19 infections, the ongoing shift to work-from-home arrangements and school disruptions as described in more detail in “Management’s Discussion and Analysis of Financial Condition and Results of Operations” in this Form 10-K. While our Quest brand has outperformed its portion of the nutritious snacking segment, the performance of our Atkins brand, which is part of the weight management portion of the market, has remained slower due to factors that may include the temporary softer interest in weight management for consumers and fewer on-the-go usage occasions.</w:t>
      </w:r>
    </w:p>
    <w:p>
      <w:pPr>
        <w:spacing w:after="0" w:line="214" w:lineRule="exact"/>
        <w:rPr>
          <w:sz w:val="20"/>
          <w:szCs w:val="20"/>
          <w:color w:val="auto"/>
        </w:rPr>
      </w:pPr>
    </w:p>
    <w:p>
      <w:pPr>
        <w:jc w:val="both"/>
        <w:ind w:firstLine="181"/>
        <w:spacing w:after="0" w:line="266" w:lineRule="auto"/>
        <w:rPr>
          <w:sz w:val="20"/>
          <w:szCs w:val="20"/>
          <w:color w:val="auto"/>
        </w:rPr>
      </w:pPr>
      <w:r>
        <w:rPr>
          <w:rFonts w:ascii="Times New Roman" w:cs="Times New Roman" w:eastAsia="Times New Roman" w:hAnsi="Times New Roman"/>
          <w:sz w:val="18"/>
          <w:szCs w:val="18"/>
          <w:color w:val="auto"/>
        </w:rPr>
        <w:t>We believe these effects on consumer demand and shopping behavior because of the COVID-19 pandemic may continue, including because of new virus variants and the effect these variants have on consumer shopping patterns, until a more consistent return of work outside the home to more normal patterns and our brand benefits of active nutrition and weight management drive more better-for-you snacking and meal replacement usage occasions.</w:t>
      </w:r>
    </w:p>
    <w:p>
      <w:pPr>
        <w:spacing w:after="0" w:line="203" w:lineRule="exact"/>
        <w:rPr>
          <w:sz w:val="20"/>
          <w:szCs w:val="20"/>
          <w:color w:val="auto"/>
        </w:rPr>
      </w:pPr>
    </w:p>
    <w:p>
      <w:pPr>
        <w:jc w:val="both"/>
        <w:ind w:firstLine="253"/>
        <w:spacing w:after="0" w:line="266" w:lineRule="auto"/>
        <w:rPr>
          <w:sz w:val="20"/>
          <w:szCs w:val="20"/>
          <w:color w:val="auto"/>
        </w:rPr>
      </w:pPr>
      <w:r>
        <w:rPr>
          <w:rFonts w:ascii="Times New Roman" w:cs="Times New Roman" w:eastAsia="Times New Roman" w:hAnsi="Times New Roman"/>
          <w:sz w:val="18"/>
          <w:szCs w:val="18"/>
          <w:color w:val="auto"/>
        </w:rPr>
        <w:t>Our efforts to manage and mitigate these factors may be unsuccessful, and the effectiveness of these efforts depends on factors beyond our control, including the duration and severity of any pandemic, epidemic or disease outbreak, and third party actions taken to contain its spread and mitigate public health effects.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the highly competitive nutritional snacking industry.</w:t>
      </w:r>
    </w:p>
    <w:p>
      <w:pPr>
        <w:spacing w:after="0" w:line="256"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Our business is committed to providing people a more nutritious way to eat. As a result, we compete in the nutritional snacking industry, which is included in the general snack foods industry. The nutritious snacking industry is large and intensely competitive. Competitive factors in the nutritional snacking industry include product quality, taste, brand awareness among consumers, nutritional content, simpler and less processed ingredients, innovation of “on-trend” snacks, variety of snacks offered, grocery aisle placement, access to retailer shelf space, price, advertising and promotion, product packaging and package design. We compete in this market against numerous multinational, regional and local companies principally based on our low-carb, low-sugar and protein-rich nutritional content, product taste and quality, our brand recognition and loyalty, marketing, advertising, price and the ability to satisfy specific consumer dietary needs. An increasing focus on healthy and simpler products in the marketplace will likely increase these competitive pressures within the category in future periods.</w:t>
      </w:r>
    </w:p>
    <w:p>
      <w:pPr>
        <w:spacing w:after="0" w:line="219"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Our competitors in the nutritional snacking industry include companies selling branded weight loss programs who support these programs by offering a wide variety of diet foods, meal replacement bars, shakes and nutritional supplements, and through the promotion of weight loss and weight management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consumer perceptions of the Atkins’ weight management approach and the effectiveness of a low-carb, low-sugar and protein-rich eating approach for both our Atkins and Quest brands must continue to be viewed favorably, or our business and reputation may be materially and adversely affected. For the Atkins brand, if other weight management approaches become more popular, or are generally perceived to be more effective, we may not be able to compete effectively.</w:t>
      </w:r>
    </w:p>
    <w:p>
      <w:pPr>
        <w:spacing w:after="0" w:line="21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Some of our competitors have resources substantially greater than we have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86" w:lineRule="exact"/>
        <w:rPr>
          <w:sz w:val="20"/>
          <w:szCs w:val="20"/>
          <w:color w:val="auto"/>
        </w:rPr>
      </w:pPr>
    </w:p>
    <w:p>
      <w:pPr>
        <w:jc w:val="both"/>
        <w:ind w:firstLine="182"/>
        <w:spacing w:after="0" w:line="255" w:lineRule="auto"/>
        <w:rPr>
          <w:sz w:val="20"/>
          <w:szCs w:val="20"/>
          <w:color w:val="auto"/>
        </w:rPr>
      </w:pPr>
      <w:r>
        <w:rPr>
          <w:rFonts w:ascii="Times New Roman" w:cs="Times New Roman" w:eastAsia="Times New Roman" w:hAnsi="Times New Roman"/>
          <w:sz w:val="18"/>
          <w:szCs w:val="18"/>
          <w:color w:val="auto"/>
        </w:rPr>
        <w:t>Our future success depends, largely, on our ability to implement our growth strategies effectively. However, we may fail to accomplish this. We expect to continue focusing on nutritional snacking and intend to add additional brands to our product portfolio. As a business with more than one brand, we face increased complexities and greater uncertainty regarding consumer trends and demands than as a single-brand business.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w:t>
      </w:r>
    </w:p>
    <w:p>
      <w:pPr>
        <w:spacing w:after="0" w:line="21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In addition, regarding our Atkins brand, lifestyle consumers of products may have different preferences and spending habits than the consumers of traditional weight loss products. We may fail in reaching and maintaining the loyalty or purchase frequency rate of new Atkins consumers to the same extent, or at all, as we have with our historical Atkins consumers. We may also not succeed in evolving our advertising and other efforts to appeal to our target consumers for both Atkins and Quest.</w:t>
      </w:r>
    </w:p>
    <w:p>
      <w:pPr>
        <w:spacing w:after="0" w:line="207"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If we cannot identify and capture new audiences and demographics for all our brands, our ability to integrate additional brands successfully will be adversely affected. Accordingly, we may not be able to successfully implement our growth strategies, expand the number of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preferences, habits, perceptions of certain nutritional snacking products and discretionary spending may negatively affect our brand loyalty, purchase frequency rate and net sales, and materially and adversely affect our business, financial condition and results of operations.</w:t>
      </w:r>
    </w:p>
    <w:p>
      <w:pPr>
        <w:spacing w:after="0" w:line="186"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We focus on products we believe have positive effects on health and compete in a market that relies on innovation and evolving consumer preferences. The packaged food industry in general, and the nutritional snacking industry in particular, is subject to changing consumer trends, demands and preferences and emerging nutrition science is constantly evolving. Products or methods of eating once considered healthy may become disfavored by consumers, scientifically disproven or no longer be perceived as healthy.</w:t>
      </w:r>
    </w:p>
    <w:p>
      <w:pPr>
        <w:spacing w:after="0" w:line="207" w:lineRule="exact"/>
        <w:rPr>
          <w:sz w:val="20"/>
          <w:szCs w:val="20"/>
          <w:color w:val="auto"/>
        </w:rPr>
      </w:pPr>
    </w:p>
    <w:p>
      <w:pPr>
        <w:jc w:val="both"/>
        <w:ind w:firstLine="179"/>
        <w:spacing w:after="0" w:line="255" w:lineRule="auto"/>
        <w:rPr>
          <w:sz w:val="20"/>
          <w:szCs w:val="20"/>
          <w:color w:val="auto"/>
        </w:rPr>
      </w:pPr>
      <w:r>
        <w:rPr>
          <w:rFonts w:ascii="Times New Roman" w:cs="Times New Roman" w:eastAsia="Times New Roman" w:hAnsi="Times New Roman"/>
          <w:sz w:val="18"/>
          <w:szCs w:val="18"/>
          <w:color w:val="auto"/>
        </w:rPr>
        <w:t>Trends within the food industry change over time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trends away from specific ingredients and processing in products and increasing awareness of the environmental and social effects of product production.</w:t>
      </w:r>
    </w:p>
    <w:p>
      <w:pPr>
        <w:spacing w:after="0" w:line="216" w:lineRule="exact"/>
        <w:rPr>
          <w:sz w:val="20"/>
          <w:szCs w:val="20"/>
          <w:color w:val="auto"/>
        </w:rPr>
      </w:pPr>
    </w:p>
    <w:p>
      <w:pPr>
        <w:jc w:val="both"/>
        <w:ind w:firstLine="214"/>
        <w:spacing w:after="0" w:line="253" w:lineRule="auto"/>
        <w:rPr>
          <w:sz w:val="20"/>
          <w:szCs w:val="20"/>
          <w:color w:val="auto"/>
        </w:rPr>
      </w:pPr>
      <w:r>
        <w:rPr>
          <w:rFonts w:ascii="Times New Roman" w:cs="Times New Roman" w:eastAsia="Times New Roman" w:hAnsi="Times New Roman"/>
          <w:sz w:val="18"/>
          <w:szCs w:val="18"/>
          <w:color w:val="auto"/>
        </w:rPr>
        <w:t>Consumer perceptions of the nutritional profile of our products and related eating practices may shift, and consumers may no longer perceive products with fewer carbohydrates, higher levels of protein, higher levels of fat and additional fiber as healthy or needed to achieve personal weight management, wellness, or fitness goals. Adverse messaging in the media, including social media, or within certain influencer communities, relating to the marketing of weight management products or programs may adversely affect the overall consumer impression of certain of our products, programs or brands, which may materially and adversely affect our business. Approaches regarding weight management and healthy lifestyles are the subject of numerous studies and publications, often with differentiating views and opinions, some of which may be adverse to us. Conflicting scientific information on what constitutes good nutrition, diet fads or other weight loss trends may also materially and adversely affect our business. Our success depends, in part, on our ability to anticipate the tastes and dietary habits of consumers and other consumer trends and to offer products with marketing messaging that appeal to their needs and preferences on a timely and affordable basis. A change in consumer discretionary spending, due to inflationary pressures, economic downturn or other reasons may also materially and adversely affect our sales, and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brand recognition, increase distribution of our products, attract new consumers to our brands and introduce new and innovative products, either on a timely basis or at all, our business may suffer.</w:t>
      </w:r>
    </w:p>
    <w:p>
      <w:pPr>
        <w:spacing w:after="0" w:line="186"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enhance our brand recognition amongst consumers, develop and market new and innovative products and extensions and effectively inform consumers of these new products. New product sales represent a growing and important portion of our net sales. To respond to new and evolving consumer demands, achieve market acceptance and keep pace with new nutritional, weight management, technological and other developments, we must constantly introduce new and innovative products into the market, some of which may not be accepted by consumers, may be sent to market prematurely or may not be consistent with our quality and taste standards. Accordingly, we may not succeed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may be limited if we cannot maintain or secure additional shelf or retail space for our products in brick-and-mortar retailers.</w:t>
      </w:r>
    </w:p>
    <w:p>
      <w:pPr>
        <w:spacing w:after="0" w:line="256"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color w:val="auto"/>
        </w:rPr>
        <w:t>Our results depend on our ability to drive revenue growth, in part, by expanding the distribution channels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or adequate product visibility on, their platform to enable us to meet our growth objectives.</w:t>
      </w:r>
    </w:p>
    <w:p>
      <w:pPr>
        <w:spacing w:after="0" w:line="207" w:lineRule="exact"/>
        <w:rPr>
          <w:sz w:val="20"/>
          <w:szCs w:val="20"/>
          <w:color w:val="auto"/>
        </w:rPr>
      </w:pPr>
    </w:p>
    <w:p>
      <w:pPr>
        <w:jc w:val="both"/>
        <w:ind w:firstLine="219"/>
        <w:spacing w:after="0" w:line="258" w:lineRule="auto"/>
        <w:rPr>
          <w:sz w:val="20"/>
          <w:szCs w:val="20"/>
          <w:color w:val="auto"/>
        </w:rPr>
      </w:pPr>
      <w:r>
        <w:rPr>
          <w:rFonts w:ascii="Times New Roman" w:cs="Times New Roman" w:eastAsia="Times New Roman" w:hAnsi="Times New Roman"/>
          <w:sz w:val="18"/>
          <w:szCs w:val="18"/>
          <w:color w:val="auto"/>
        </w:rPr>
        <w:t>Unattractive placement or pricing, including as a result of our recent price increases,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86" w:lineRule="exact"/>
        <w:rPr>
          <w:sz w:val="20"/>
          <w:szCs w:val="20"/>
          <w:color w:val="auto"/>
        </w:rPr>
      </w:pPr>
    </w:p>
    <w:p>
      <w:pPr>
        <w:jc w:val="both"/>
        <w:ind w:firstLine="208"/>
        <w:spacing w:after="0" w:line="253" w:lineRule="auto"/>
        <w:rPr>
          <w:sz w:val="20"/>
          <w:szCs w:val="20"/>
          <w:color w:val="auto"/>
        </w:rPr>
      </w:pPr>
      <w:r>
        <w:rPr>
          <w:rFonts w:ascii="Times New Roman" w:cs="Times New Roman" w:eastAsia="Times New Roman" w:hAnsi="Times New Roman"/>
          <w:sz w:val="18"/>
          <w:szCs w:val="18"/>
          <w:color w:val="auto"/>
        </w:rPr>
        <w:t>We believe we have built our reputation on the efficacy of our nutritional approach, and the high-quality flavor and nutritional content of our food. We must protect and expand on the value of our brands to continue to be successful in the future. Any incident that erodes consumer affinity for our brands or our business operations could significantly reduce our value and damage our business. For example, negative third-party reports regarding the Atkins or Quest nutritional approach or the quality of our food, whether accurate or not, may adversely affect consumer perceptions, which could cause the value of our brands to suffer and adversely affect our business. In addition, if we recall certain products, including frozen foods or licensed products over which we may not have full quality control, the public perception of the quality of our food may be diminished. We may also be adversely affected by news or other negative publicity, regardless of accuracy, regarding other aspects of our business, such as public health concerns, the perception of our environmental stewardship and the effects our business has on the environment, illness, safety, security breaches of confidential consumer or employee information, employee related claims relating to alleged employment discrimination, health care and benefit issues or government or industry findings about our retailers, distributors, manufacturers or others across the industry supply chain.</w:t>
      </w:r>
    </w:p>
    <w:p>
      <w:pPr>
        <w:spacing w:after="0" w:line="221"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information, including inaccurate information, about us on social media may harm our reputation and brands, which could have a material and adverse effect on our business, financial condition and results of operations.</w:t>
      </w:r>
    </w:p>
    <w:p>
      <w:pPr>
        <w:spacing w:after="0" w:line="18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There has been a marked increase in using social media platforms and similar channels that provide individuals with access to a broad audience of consumers and other interested persons. The availability of information on social media platforms is virtually immediate, as is its effect. Many social media platforms make available the content their subscribers and participants post, often without filters or checks on accuracy of the content posted. The opportunity for dissemination of information, including inaccurate information, is potentially limitless. Information about our business and/or products may be circulated on such platforms at any time. Negative views regarding our products and the efficacy of the Atkins or Quest eating approaches have been posted on various social media platforms, may continue to be posted in the future, and are out of our control. Regardless of their accuracy or authenticity, such information and views may be adverse to our interests and may harm our reputation and brands.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appropriately allocate resources to maintain consumer awareness of our brands, build brand loyalty and generate interest in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strategies and channels will evolve, and our programs may or may not be successful.</w:t>
      </w:r>
    </w:p>
    <w:p>
      <w:pPr>
        <w:spacing w:after="0" w:line="234" w:lineRule="exact"/>
        <w:rPr>
          <w:sz w:val="20"/>
          <w:szCs w:val="20"/>
          <w:color w:val="auto"/>
        </w:rPr>
      </w:pPr>
    </w:p>
    <w:p>
      <w:pPr>
        <w:jc w:val="both"/>
        <w:ind w:firstLine="260"/>
        <w:spacing w:after="0" w:line="253" w:lineRule="auto"/>
        <w:rPr>
          <w:sz w:val="20"/>
          <w:szCs w:val="20"/>
          <w:color w:val="auto"/>
        </w:rPr>
      </w:pPr>
      <w:r>
        <w:rPr>
          <w:rFonts w:ascii="Times New Roman" w:cs="Times New Roman" w:eastAsia="Times New Roman" w:hAnsi="Times New Roman"/>
          <w:sz w:val="18"/>
          <w:szCs w:val="18"/>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the market position of our brands or to introduce new products to the market. We along with participants in our industry are increasingly engaging with non-traditional and evolving media channels, including consumer outreach through social media and web-based communications, which may not prove successful. An increase in our marketing and advertising efforts may not maintain our current reputation or lead to increased awareness for our brands. Moreover, we may not maintain current awareness of our brands due to any potential fragmentation of our marketing efforts as we continue to focus primarily on a low-carb, low-sugar and protein-rich nutritional approach for everyday snacking consumers. In addition, as media becomes increasingly fragmented, with consumers viewing media more and more through a variety of different platforms, channels and devices such as mobile devices and online streaming and less from traditional broadcast and cable television outlets, our costs to reach a comparable number of target consumers for our advertising activities has increased.</w:t>
      </w:r>
    </w:p>
    <w:p>
      <w:pPr>
        <w:spacing w:after="0" w:line="221"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8"/>
          <w:szCs w:val="18"/>
          <w:color w:val="auto"/>
        </w:rPr>
        <w:t>We also consistently evaluate our product lines to determine whether to discontinue certain products. Discontinuing products may increase our profitability but could reduce our sales and cause consumers to shop other brands. The discontinuation of product lines may have an adverse effect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geographic focus makes us particularly vulnerable to economic and other events and trends in North America.</w:t>
      </w:r>
    </w:p>
    <w:p>
      <w:pPr>
        <w:spacing w:after="0" w:line="256" w:lineRule="exact"/>
        <w:rPr>
          <w:sz w:val="20"/>
          <w:szCs w:val="20"/>
          <w:color w:val="auto"/>
        </w:rPr>
      </w:pPr>
    </w:p>
    <w:p>
      <w:pPr>
        <w:jc w:val="both"/>
        <w:ind w:firstLine="260"/>
        <w:spacing w:after="0" w:line="261" w:lineRule="auto"/>
        <w:rPr>
          <w:sz w:val="20"/>
          <w:szCs w:val="20"/>
          <w:color w:val="auto"/>
        </w:rPr>
      </w:pPr>
      <w:r>
        <w:rPr>
          <w:rFonts w:ascii="Times New Roman" w:cs="Times New Roman" w:eastAsia="Times New Roman" w:hAnsi="Times New Roman"/>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Operating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may rise significantly, which may negatively affect the profitability of our business.</w:t>
      </w:r>
    </w:p>
    <w:p>
      <w:pPr>
        <w:spacing w:after="0" w:line="256" w:lineRule="exact"/>
        <w:rPr>
          <w:sz w:val="20"/>
          <w:szCs w:val="20"/>
          <w:color w:val="auto"/>
        </w:rPr>
      </w:pPr>
    </w:p>
    <w:p>
      <w:pPr>
        <w:jc w:val="both"/>
        <w:ind w:firstLine="264"/>
        <w:spacing w:after="0" w:line="256" w:lineRule="auto"/>
        <w:rPr>
          <w:sz w:val="20"/>
          <w:szCs w:val="20"/>
          <w:color w:val="auto"/>
        </w:rPr>
      </w:pPr>
      <w:r>
        <w:rPr>
          <w:rFonts w:ascii="Times New Roman" w:cs="Times New Roman" w:eastAsia="Times New Roman" w:hAnsi="Times New Roman"/>
          <w:sz w:val="18"/>
          <w:szCs w:val="18"/>
          <w:color w:val="auto"/>
        </w:rPr>
        <w:t>We negotiate the prices for large quantities of core ingredients, such as soy, nuts, dairy, protein, fiber and cocoa, and packaging materials. Several ingredients are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and agricultural programs and environmental regulation. Volatility in the prices of the core ingredients and other supplies we purchase increased significantly in fiscal year 2022 and are expected to remain elevated during fiscal year 2023. As a result, our cost of goods sold increased, and our profitability was reduced.</w:t>
      </w:r>
    </w:p>
    <w:p>
      <w:pPr>
        <w:spacing w:after="0" w:line="214" w:lineRule="exact"/>
        <w:rPr>
          <w:sz w:val="20"/>
          <w:szCs w:val="20"/>
          <w:color w:val="auto"/>
        </w:rPr>
      </w:pPr>
    </w:p>
    <w:p>
      <w:pPr>
        <w:jc w:val="both"/>
        <w:ind w:firstLine="239"/>
        <w:spacing w:after="0" w:line="256" w:lineRule="auto"/>
        <w:rPr>
          <w:sz w:val="20"/>
          <w:szCs w:val="20"/>
          <w:color w:val="auto"/>
        </w:rPr>
      </w:pPr>
      <w:r>
        <w:rPr>
          <w:rFonts w:ascii="Times New Roman" w:cs="Times New Roman" w:eastAsia="Times New Roman" w:hAnsi="Times New Roman"/>
          <w:sz w:val="18"/>
          <w:szCs w:val="18"/>
          <w:color w:val="auto"/>
        </w:rPr>
        <w:t>We do not use hedges for availability of any core ingredients. Any material upward movement in core ingredient pricing could negatively affect our margins if we cannot find efficiencies or pass these costs on to our consumers, or our sales if we are forced to increase our prices.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 For more information on the effects of supply chain cost increases results of operations during fiscal year 2022, see “Management’s Discussion and Analysis of Financial Condition and Results of Operations” in this Form 10-K.</w:t>
      </w:r>
    </w:p>
    <w:p>
      <w:pPr>
        <w:spacing w:after="0" w:line="214"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prices may be affected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sales to a limited number of retailers for a substantial portion of our net sales and losing one or more such retailers may materially harm our business. In addition, we maintain “at will” contracts with these retailers, which do not require recurring or minimum purchase amounts of our products.</w:t>
      </w:r>
    </w:p>
    <w:p>
      <w:pPr>
        <w:spacing w:after="0" w:line="202" w:lineRule="exact"/>
        <w:rPr>
          <w:sz w:val="20"/>
          <w:szCs w:val="20"/>
          <w:color w:val="auto"/>
        </w:rPr>
      </w:pPr>
    </w:p>
    <w:p>
      <w:pPr>
        <w:jc w:val="both"/>
        <w:ind w:firstLine="170"/>
        <w:spacing w:after="0" w:line="254" w:lineRule="auto"/>
        <w:rPr>
          <w:sz w:val="20"/>
          <w:szCs w:val="20"/>
          <w:color w:val="auto"/>
        </w:rPr>
      </w:pPr>
      <w:r>
        <w:rPr>
          <w:rFonts w:ascii="Times New Roman" w:cs="Times New Roman" w:eastAsia="Times New Roman" w:hAnsi="Times New Roman"/>
          <w:sz w:val="18"/>
          <w:szCs w:val="18"/>
          <w:color w:val="auto"/>
        </w:rPr>
        <w:t>A substantial majority of our sales are generated from a limited number of retailers. Sales to our largest retailer, Walmart, represented approximately 31% of consolidated sales in fiscal year 2022, of which approximately 23% is through their mass retail channel and approximately 8% is through their Sam’s club and e-commerce channels. Sales to our next two largest retailers, Amazon and Target, represented approximately 13% and 10% of consolidated sales in fiscal year 2022, respectively. Although the composition of our significant retailers may vary from period-to-period, we expect that most of our net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Amazon, Target or our other significant customers will continue to purchase our products in the same quantities or on the same terms as in the past, particularly as increasingly powerful retailers continue to demand lower pricing.</w:t>
      </w:r>
    </w:p>
    <w:p>
      <w:pPr>
        <w:spacing w:after="0" w:line="215"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8"/>
          <w:szCs w:val="18"/>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189"/>
        <w:spacing w:after="0" w:line="255" w:lineRule="auto"/>
        <w:rPr>
          <w:sz w:val="20"/>
          <w:szCs w:val="20"/>
          <w:color w:val="auto"/>
        </w:rPr>
      </w:pPr>
      <w:r>
        <w:rPr>
          <w:rFonts w:ascii="Times New Roman" w:cs="Times New Roman" w:eastAsia="Times New Roman" w:hAnsi="Times New Roman"/>
          <w:sz w:val="18"/>
          <w:szCs w:val="18"/>
          <w:color w:val="auto"/>
        </w:rPr>
        <w:t>Conversely, occasionally, we may experience unanticipated increases in orders of our products from these retailers that can create supply chain problems and may cause unfilled orders. If we cannot meet increased demand for our products, our reputation with these retailers, and ultimately our consumers,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86" w:lineRule="exact"/>
        <w:rPr>
          <w:sz w:val="20"/>
          <w:szCs w:val="20"/>
          <w:color w:val="auto"/>
        </w:rPr>
      </w:pPr>
    </w:p>
    <w:p>
      <w:pPr>
        <w:jc w:val="both"/>
        <w:ind w:firstLine="215"/>
        <w:spacing w:after="0" w:line="254" w:lineRule="auto"/>
        <w:rPr>
          <w:sz w:val="20"/>
          <w:szCs w:val="20"/>
          <w:color w:val="auto"/>
        </w:rPr>
      </w:pPr>
      <w:r>
        <w:rPr>
          <w:rFonts w:ascii="Times New Roman" w:cs="Times New Roman" w:eastAsia="Times New Roman" w:hAnsi="Times New Roman"/>
          <w:sz w:val="18"/>
          <w:szCs w:val="18"/>
          <w:color w:val="auto"/>
        </w:rPr>
        <w:t>For our U.S. operations, we utilize distribution centers in Greenfield, Indiana. A substantial portion of our inventory is shipped directly to our retailers from these centers by a third-party logistics provider. Most of our other customers pick-up their orders at our distribution centers and make their own arrangements for delivery to their fulfillment network. A small percentage of our customers are shipped certain products directly from a co-manufacturing location. We rely significantly on the orderly operation of our distribution centers and logistics providers. If complications arise, a particular facility is damaged or destroyed or if either our third-party logistics partners or our customers who transport their own orders to their fulfillment network are not able to meet their labor or other human capital needs for delivery drivers or other warehouse personnel, our ability to deliver inventory timely will be significantly impaired, which could materially and adversely affect our business as a result of lost consumer purchases at retail thereby negatively affecting our results of operations.</w:t>
      </w:r>
    </w:p>
    <w:p>
      <w:pPr>
        <w:spacing w:after="0" w:line="219"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rely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logistics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10"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8"/>
          <w:szCs w:val="18"/>
          <w:color w:val="auto"/>
        </w:rPr>
        <w:t>Disruptions at our distribution facilities or in our operations due to natural or man-made disasters, pandemics (such as COVID-19)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Shortages or interruptions in the supply or delivery of our core ingredients, packaging, products or equipment we purchase could materially and adversely affect our operating results as we rely on a limited number of third-party suppliers to supply our core ingredients and packaging and a limited number of contract manufacturers to manufacture our products.</w:t>
      </w:r>
    </w:p>
    <w:p>
      <w:pPr>
        <w:spacing w:after="0" w:line="202" w:lineRule="exact"/>
        <w:rPr>
          <w:sz w:val="20"/>
          <w:szCs w:val="20"/>
          <w:color w:val="auto"/>
        </w:rPr>
      </w:pPr>
    </w:p>
    <w:p>
      <w:pPr>
        <w:jc w:val="both"/>
        <w:ind w:firstLine="223"/>
        <w:spacing w:after="0" w:line="254" w:lineRule="auto"/>
        <w:rPr>
          <w:sz w:val="20"/>
          <w:szCs w:val="20"/>
          <w:color w:val="auto"/>
        </w:rPr>
      </w:pPr>
      <w:r>
        <w:rPr>
          <w:rFonts w:ascii="Times New Roman" w:cs="Times New Roman" w:eastAsia="Times New Roman" w:hAnsi="Times New Roman"/>
          <w:sz w:val="18"/>
          <w:szCs w:val="18"/>
          <w:color w:val="auto"/>
        </w:rPr>
        <w:t>The core ingredients used in manufacturing our products include soy, nuts, dairy, protein, fiber and cocoa. We rely on a limited number of third-party suppliers to provide these core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sustainability concerns, evolving applicable environmental regulations, ability to import core ingredients, delays in imported core ingredients being processed through local customs, costs, production, insurance, reputation and weather conditions during growing, harvesting or shipping, including flood, drought, frost and earthquakes, man-made disasters or other catastrophic occurrences, and geopolitical events such as the conflict between Ukraine and Russia.</w:t>
      </w:r>
    </w:p>
    <w:p>
      <w:pPr>
        <w:spacing w:after="0" w:line="219" w:lineRule="exact"/>
        <w:rPr>
          <w:sz w:val="20"/>
          <w:szCs w:val="20"/>
          <w:color w:val="auto"/>
        </w:rPr>
      </w:pPr>
    </w:p>
    <w:p>
      <w:pPr>
        <w:jc w:val="both"/>
        <w:ind w:firstLine="225"/>
        <w:spacing w:after="0" w:line="258" w:lineRule="auto"/>
        <w:rPr>
          <w:sz w:val="20"/>
          <w:szCs w:val="20"/>
          <w:color w:val="auto"/>
        </w:rPr>
      </w:pPr>
      <w:r>
        <w:rPr>
          <w:rFonts w:ascii="Times New Roman" w:cs="Times New Roman" w:eastAsia="Times New Roman" w:hAnsi="Times New Roman"/>
          <w:sz w:val="18"/>
          <w:szCs w:val="18"/>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overall supply of required core ingredients, suppliers raising their prices, and increases in the cost of packaging and distributing core ingredients. Additionally, we may be adversely affected if suppliers stop selling to us or enter into arrangements that impair their abilities to provide us with core ingredients and packaging.</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rely on a limited number of contract manufacturers to manufacture our products. If any of these manufacturers:</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adverse effects on their businesses, including an inability to fulfill their labor or other human capital needs;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continue manufacturing our products at required levels, on a timely basis, or at all;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to cancel or not renew our contract with them to manufacture our products;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 In addition, from time to time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w:t>
      </w:r>
    </w:p>
    <w:p>
      <w:pPr>
        <w:spacing w:after="0" w:line="216" w:lineRule="exact"/>
        <w:rPr>
          <w:sz w:val="20"/>
          <w:szCs w:val="20"/>
          <w:color w:val="auto"/>
        </w:rPr>
      </w:pPr>
    </w:p>
    <w:p>
      <w:pPr>
        <w:jc w:val="both"/>
        <w:ind w:right="20" w:firstLine="304"/>
        <w:spacing w:after="0" w:line="261" w:lineRule="auto"/>
        <w:rPr>
          <w:sz w:val="20"/>
          <w:szCs w:val="20"/>
          <w:color w:val="auto"/>
        </w:rPr>
      </w:pPr>
      <w:r>
        <w:rPr>
          <w:rFonts w:ascii="Times New Roman" w:cs="Times New Roman" w:eastAsia="Times New Roman" w:hAnsi="Times New Roman"/>
          <w:sz w:val="18"/>
          <w:szCs w:val="18"/>
          <w:color w:val="auto"/>
        </w:rPr>
        <w:t>Our contract manufacturers also independently contract for and obtain certain ingredients and packaging for our products. If we or our contract manufactures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207" w:lineRule="exact"/>
        <w:rPr>
          <w:sz w:val="20"/>
          <w:szCs w:val="20"/>
          <w:color w:val="auto"/>
        </w:rPr>
      </w:pPr>
    </w:p>
    <w:p>
      <w:pPr>
        <w:jc w:val="both"/>
        <w:ind w:firstLine="264"/>
        <w:spacing w:after="0" w:line="266" w:lineRule="auto"/>
        <w:rPr>
          <w:sz w:val="20"/>
          <w:szCs w:val="20"/>
          <w:color w:val="auto"/>
        </w:rPr>
      </w:pPr>
      <w:r>
        <w:rPr>
          <w:rFonts w:ascii="Times New Roman" w:cs="Times New Roman" w:eastAsia="Times New Roman" w:hAnsi="Times New Roman"/>
          <w:sz w:val="18"/>
          <w:szCs w:val="18"/>
          <w:color w:val="auto"/>
        </w:rPr>
        <w:t>If having our products available for consumer purchase through our retail customers is disrupted as a result of an inability to obtain ingredients or packaging, labor challenges at our logistics providers or our contract manufacturers, or if our customers experience delays in stocking our products in their locations, we will experience a reduction in sales at retail and our results of operations could be material and adversely affected.</w:t>
      </w:r>
    </w:p>
    <w:p>
      <w:pPr>
        <w:spacing w:after="0" w:line="203" w:lineRule="exact"/>
        <w:rPr>
          <w:sz w:val="20"/>
          <w:szCs w:val="20"/>
          <w:color w:val="auto"/>
        </w:rPr>
      </w:pPr>
    </w:p>
    <w:p>
      <w:pPr>
        <w:jc w:val="both"/>
        <w:ind w:firstLine="237"/>
        <w:spacing w:after="0" w:line="254" w:lineRule="auto"/>
        <w:rPr>
          <w:sz w:val="20"/>
          <w:szCs w:val="20"/>
          <w:color w:val="auto"/>
        </w:rPr>
      </w:pPr>
      <w:r>
        <w:rPr>
          <w:rFonts w:ascii="Times New Roman" w:cs="Times New Roman" w:eastAsia="Times New Roman" w:hAnsi="Times New Roman"/>
          <w:sz w:val="18"/>
          <w:szCs w:val="18"/>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215" w:lineRule="exact"/>
        <w:rPr>
          <w:sz w:val="20"/>
          <w:szCs w:val="20"/>
          <w:color w:val="auto"/>
        </w:rPr>
      </w:pPr>
    </w:p>
    <w:p>
      <w:pPr>
        <w:jc w:val="both"/>
        <w:ind w:firstLine="195"/>
        <w:spacing w:after="0" w:line="256" w:lineRule="auto"/>
        <w:rPr>
          <w:sz w:val="20"/>
          <w:szCs w:val="20"/>
          <w:color w:val="auto"/>
        </w:rPr>
      </w:pPr>
      <w:r>
        <w:rPr>
          <w:rFonts w:ascii="Times New Roman" w:cs="Times New Roman" w:eastAsia="Times New Roman" w:hAnsi="Times New Roman"/>
          <w:sz w:val="18"/>
          <w:szCs w:val="18"/>
          <w:color w:val="auto"/>
        </w:rPr>
        <w:t>We rely in large part on our third-party contract manufacturers to maintain the quality of our products. The failure or inability of contract manufacturers to comply with the specifications and requirements of our products could cause product recalls, which could materially and adversely affect our reputation and subject us to significant liability should the consumption of any of our products cause or be claimed to cause illness or injury. Our products implicate risks such as product contamination, spoilage, product tampering, other adulteration, mislabeling and misbranding. We also license certain products that contain our brands and logos, but which are produced and distributed exclusively by third parties of whom we have limited control. In addition, we do not own our warehouse facilities, but they are managed for us by a third party.</w:t>
      </w:r>
    </w:p>
    <w:p>
      <w:pPr>
        <w:spacing w:after="0" w:line="214"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8"/>
          <w:szCs w:val="18"/>
          <w:color w:val="auto"/>
        </w:rPr>
        <w:t>Under certain circumstances, we may be required to, or may voluntarily, recall or withdraw products. For example, in 2016, as part of a larger national recall by several other food companies, we incurred losses, including recalled product because of potential contamination from an ingredient supplied to one of our third-party manufacturers at their manufacturing center. While the contamination did not result in any consumer illness, and we were indemnified for a substantial portion of our direct product loss, the recall may have damaged the reputation for the brand.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214" w:lineRule="exact"/>
        <w:rPr>
          <w:sz w:val="20"/>
          <w:szCs w:val="20"/>
          <w:color w:val="auto"/>
        </w:rPr>
      </w:pPr>
    </w:p>
    <w:p>
      <w:pPr>
        <w:jc w:val="both"/>
        <w:ind w:firstLine="254"/>
        <w:spacing w:after="0" w:line="254" w:lineRule="auto"/>
        <w:rPr>
          <w:sz w:val="20"/>
          <w:szCs w:val="20"/>
          <w:color w:val="auto"/>
        </w:rPr>
      </w:pPr>
      <w:r>
        <w:rPr>
          <w:rFonts w:ascii="Times New Roman" w:cs="Times New Roman" w:eastAsia="Times New Roman" w:hAnsi="Times New Roman"/>
          <w:sz w:val="18"/>
          <w:szCs w:val="18"/>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product liability claim or lawsuit is unsuccessful or is not fully pursued, the negative publicity surrounding any assertion that our products caused illness or injury could adversely affect our reputation with existing and potential consumers and our corporate and brand image. Moreover, claims or liabilities of this sort might not be covered by our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natural disasters such as fires, floods, droughts, hurricanes, earthquakes and tornadoes, government regulation related to climate change, and the effects of climate change and geopolitical events can affect crop supplies, and supply chain infrastructure, and negatively affect the operating results of our business.</w:t>
      </w:r>
    </w:p>
    <w:p>
      <w:pPr>
        <w:spacing w:after="0" w:line="202" w:lineRule="exact"/>
        <w:rPr>
          <w:sz w:val="20"/>
          <w:szCs w:val="20"/>
          <w:color w:val="auto"/>
        </w:rPr>
      </w:pPr>
    </w:p>
    <w:p>
      <w:pPr>
        <w:jc w:val="both"/>
        <w:ind w:firstLine="222"/>
        <w:spacing w:after="0" w:line="254" w:lineRule="auto"/>
        <w:rPr>
          <w:sz w:val="20"/>
          <w:szCs w:val="20"/>
          <w:color w:val="auto"/>
        </w:rPr>
      </w:pPr>
      <w:r>
        <w:rPr>
          <w:rFonts w:ascii="Times New Roman" w:cs="Times New Roman" w:eastAsia="Times New Roman" w:hAnsi="Times New Roman"/>
          <w:sz w:val="18"/>
          <w:szCs w:val="18"/>
          <w:color w:val="auto"/>
        </w:rPr>
        <w:t>Severe weather conditions and natural disasters, such as fires, floods, droughts, frosts, hurricanes, earthquakes, tornadoes, insect infestations and plant disease, and geopolitical events may affect the supply of core ingredients and packaging used to make and protect food products or may prevent the manufacturing or distribution of food products by third parties. In addition, a number of these weather conditions could become even more severe over time as a result of the effects of climate change. Competing manufacturers might be affected differently by weather conditions, natural disasters, and geopolitical events depending on the location of their sources of supplies and manufacturing or distribution facilities. If supplies of core ingredients and packaging available to us are reduced, we may not be able to find enough supplemental supply sources on favorable terms, which could materially and adversely affect our business, financial condition and results of operations. In addition, because we rely on few contract manufacturers for a majority of our manufacturing needs and because our distribution warehouses are all in a similar geographic location, adverse weather conditions could affect the ability for those third-party operators to manufacture, store or move our products.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grow through mergers and acquisitions or joint ventures, and we may not successfully integrate, operate or realize the anticipated benefits of such business combinations.</w:t>
      </w:r>
    </w:p>
    <w:p>
      <w:pPr>
        <w:spacing w:after="0" w:line="186" w:lineRule="exact"/>
        <w:rPr>
          <w:sz w:val="20"/>
          <w:szCs w:val="20"/>
          <w:color w:val="auto"/>
        </w:rPr>
      </w:pPr>
    </w:p>
    <w:p>
      <w:pPr>
        <w:jc w:val="both"/>
        <w:ind w:firstLine="212"/>
        <w:spacing w:after="0" w:line="258" w:lineRule="auto"/>
        <w:rPr>
          <w:sz w:val="20"/>
          <w:szCs w:val="20"/>
          <w:color w:val="auto"/>
        </w:rPr>
      </w:pPr>
      <w:r>
        <w:rPr>
          <w:rFonts w:ascii="Times New Roman" w:cs="Times New Roman" w:eastAsia="Times New Roman" w:hAnsi="Times New Roman"/>
          <w:sz w:val="18"/>
          <w:szCs w:val="18"/>
          <w:color w:val="auto"/>
        </w:rPr>
        <w:t>As part of our strategic initiatives, we intend to pursue mergers and acquisitions or joint ventures.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0" w:lineRule="exact"/>
        <w:rPr>
          <w:sz w:val="20"/>
          <w:szCs w:val="20"/>
          <w:color w:val="auto"/>
        </w:rPr>
      </w:pPr>
    </w:p>
    <w:p>
      <w:pPr>
        <w:jc w:val="both"/>
        <w:ind w:firstLine="203"/>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19"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210" w:lineRule="exact"/>
        <w:rPr>
          <w:sz w:val="20"/>
          <w:szCs w:val="20"/>
          <w:color w:val="auto"/>
        </w:rPr>
      </w:pPr>
    </w:p>
    <w:p>
      <w:pPr>
        <w:jc w:val="both"/>
        <w:ind w:firstLine="201"/>
        <w:spacing w:after="0" w:line="255" w:lineRule="auto"/>
        <w:rPr>
          <w:sz w:val="20"/>
          <w:szCs w:val="20"/>
          <w:color w:val="auto"/>
        </w:rPr>
      </w:pPr>
      <w:r>
        <w:rPr>
          <w:rFonts w:ascii="Times New Roman" w:cs="Times New Roman" w:eastAsia="Times New Roman" w:hAnsi="Times New Roman"/>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not provide adequate levels of coverage against claims.</w:t>
      </w:r>
    </w:p>
    <w:p>
      <w:pPr>
        <w:spacing w:after="0" w:line="256"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policies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86" w:lineRule="exact"/>
        <w:rPr>
          <w:sz w:val="20"/>
          <w:szCs w:val="20"/>
          <w:color w:val="auto"/>
        </w:rPr>
      </w:pPr>
    </w:p>
    <w:p>
      <w:pPr>
        <w:jc w:val="both"/>
        <w:ind w:firstLine="267"/>
        <w:spacing w:after="0" w:line="256"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our key executive officers and the strength of our talent positions throughout the organization. The sudden loss of key personnel or our failure to appropriately plan for any expected key executive succession, including for our president and chief executive officer whose employment agreement expires in July 2023,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5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or breaches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86" w:lineRule="exact"/>
        <w:rPr>
          <w:sz w:val="20"/>
          <w:szCs w:val="20"/>
          <w:color w:val="auto"/>
        </w:rPr>
      </w:pPr>
    </w:p>
    <w:p>
      <w:pPr>
        <w:jc w:val="both"/>
        <w:ind w:firstLine="267"/>
        <w:spacing w:after="0" w:line="253"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 operate effectively, whether from maintenance problems, upgrading or transitioning to new 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that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21" w:lineRule="exact"/>
        <w:rPr>
          <w:sz w:val="20"/>
          <w:szCs w:val="20"/>
          <w:color w:val="auto"/>
        </w:rPr>
      </w:pPr>
    </w:p>
    <w:p>
      <w:pPr>
        <w:jc w:val="both"/>
        <w:ind w:firstLine="228"/>
        <w:spacing w:after="0" w:line="266" w:lineRule="auto"/>
        <w:rPr>
          <w:sz w:val="20"/>
          <w:szCs w:val="20"/>
          <w:color w:val="auto"/>
        </w:rPr>
      </w:pPr>
      <w:r>
        <w:rPr>
          <w:rFonts w:ascii="Times New Roman" w:cs="Times New Roman" w:eastAsia="Times New Roman" w:hAnsi="Times New Roman"/>
          <w:sz w:val="18"/>
          <w:szCs w:val="18"/>
          <w:color w:val="auto"/>
        </w:rPr>
        <w:t>We have instituted controls, including information system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03" w:lineRule="exact"/>
        <w:rPr>
          <w:sz w:val="20"/>
          <w:szCs w:val="20"/>
          <w:color w:val="auto"/>
        </w:rPr>
      </w:pPr>
    </w:p>
    <w:p>
      <w:pPr>
        <w:jc w:val="both"/>
        <w:ind w:firstLine="192"/>
        <w:spacing w:after="0" w:line="258" w:lineRule="auto"/>
        <w:rPr>
          <w:sz w:val="20"/>
          <w:szCs w:val="20"/>
          <w:color w:val="auto"/>
        </w:rPr>
      </w:pPr>
      <w:r>
        <w:rPr>
          <w:rFonts w:ascii="Times New Roman" w:cs="Times New Roman" w:eastAsia="Times New Roman" w:hAnsi="Times New Roman"/>
          <w:sz w:val="18"/>
          <w:szCs w:val="18"/>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280"/>
        <w:spacing w:after="0" w:line="256"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 There has been an increase over the past several years in the frequency and sophistication of attempts to compromise the security of these types of systems. If the security and information systems that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214" w:lineRule="exact"/>
        <w:rPr>
          <w:sz w:val="20"/>
          <w:szCs w:val="20"/>
          <w:color w:val="auto"/>
        </w:rPr>
      </w:pPr>
    </w:p>
    <w:p>
      <w:pPr>
        <w:jc w:val="both"/>
        <w:ind w:firstLine="257"/>
        <w:spacing w:after="0" w:line="261" w:lineRule="auto"/>
        <w:rPr>
          <w:sz w:val="20"/>
          <w:szCs w:val="20"/>
          <w:color w:val="auto"/>
        </w:rPr>
      </w:pPr>
      <w:r>
        <w:rPr>
          <w:rFonts w:ascii="Times New Roman" w:cs="Times New Roman" w:eastAsia="Times New Roman" w:hAnsi="Times New Roman"/>
          <w:sz w:val="18"/>
          <w:szCs w:val="18"/>
          <w:color w:val="auto"/>
        </w:rPr>
        <w:t>A significant number of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207"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8"/>
          <w:szCs w:val="18"/>
          <w:color w:val="auto"/>
        </w:rPr>
        <w:t>Except for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0" w:lineRule="exact"/>
        <w:rPr>
          <w:sz w:val="20"/>
          <w:szCs w:val="20"/>
          <w:color w:val="auto"/>
        </w:rPr>
      </w:pPr>
    </w:p>
    <w:p>
      <w:pPr>
        <w:jc w:val="both"/>
        <w:ind w:firstLine="299"/>
        <w:spacing w:after="0" w:line="266" w:lineRule="auto"/>
        <w:rPr>
          <w:sz w:val="20"/>
          <w:szCs w:val="20"/>
          <w:color w:val="auto"/>
        </w:rPr>
      </w:pPr>
      <w:r>
        <w:rPr>
          <w:rFonts w:ascii="Times New Roman" w:cs="Times New Roman" w:eastAsia="Times New Roman" w:hAnsi="Times New Roman"/>
          <w:sz w:val="18"/>
          <w:szCs w:val="18"/>
          <w:color w:val="auto"/>
        </w:rPr>
        <w:t>If we or our third-party providers fail to maintain or protect our respective information technology systems and data integrity effectively, fail to implement new systems, update or expand existing systems, or fail to anticipate, plan for or manage significant disruptions to or compromises of systems involved in our operations, we could:</w:t>
      </w:r>
    </w:p>
    <w:p>
      <w:pPr>
        <w:spacing w:after="0" w:line="20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existing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preventing, detecting, and controlling fraud;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disputes with customers, suppliers, distributors or others;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regulatory sanctions, including sanctions stemming from violations of the Health Insurance Portability and Accountability Act of 1996;</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reputational harm,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unexpected costs to remediate any unauthorized access of our systems and implement protective measures against future attacks.</w:t>
      </w:r>
    </w:p>
    <w:p>
      <w:pPr>
        <w:spacing w:after="0" w:line="234" w:lineRule="exact"/>
        <w:rPr>
          <w:sz w:val="20"/>
          <w:szCs w:val="20"/>
          <w:color w:val="auto"/>
        </w:rPr>
      </w:pPr>
    </w:p>
    <w:p>
      <w:pPr>
        <w:jc w:val="both"/>
        <w:ind w:firstLine="218"/>
        <w:spacing w:after="0" w:line="266" w:lineRule="auto"/>
        <w:rPr>
          <w:sz w:val="20"/>
          <w:szCs w:val="20"/>
          <w:color w:val="auto"/>
        </w:rPr>
      </w:pPr>
      <w:r>
        <w:rPr>
          <w:rFonts w:ascii="Times New Roman" w:cs="Times New Roman" w:eastAsia="Times New Roman" w:hAnsi="Times New Roman"/>
          <w:sz w:val="18"/>
          <w:szCs w:val="18"/>
          <w:color w:val="auto"/>
        </w:rPr>
        <w:t>As a result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Risks and Litigation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our products must comply with federal, state and local regulations. Any non-compliance with the FDA, USDA or other applicable regulations could harm our business.</w:t>
      </w:r>
    </w:p>
    <w:p>
      <w:pPr>
        <w:spacing w:after="0" w:line="186" w:lineRule="exact"/>
        <w:rPr>
          <w:sz w:val="20"/>
          <w:szCs w:val="20"/>
          <w:color w:val="auto"/>
        </w:rPr>
      </w:pPr>
    </w:p>
    <w:p>
      <w:pPr>
        <w:jc w:val="both"/>
        <w:ind w:firstLine="293"/>
        <w:spacing w:after="0" w:line="253" w:lineRule="auto"/>
        <w:rPr>
          <w:sz w:val="20"/>
          <w:szCs w:val="20"/>
          <w:color w:val="auto"/>
        </w:rPr>
      </w:pPr>
      <w:r>
        <w:rPr>
          <w:rFonts w:ascii="Times New Roman" w:cs="Times New Roman" w:eastAsia="Times New Roman" w:hAnsi="Times New Roman"/>
          <w:sz w:val="18"/>
          <w:szCs w:val="18"/>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use the term “net carbohydrate” (or “net carbs”) on our existing product packaging to assist consumers in tracking the carbohydrates in that serving of food that effect their blood sugar (glucose) levels. We determine the number of net carbs in a serving by subtracting fiber, and sugar alcohols if any, from the total carbohydrates listed on the NFP. It is possible that FDA regulations and/or their interpretations may materially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221"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287"/>
        <w:spacing w:after="0" w:line="261" w:lineRule="auto"/>
        <w:rPr>
          <w:sz w:val="20"/>
          <w:szCs w:val="20"/>
          <w:color w:val="auto"/>
        </w:rPr>
      </w:pPr>
      <w:r>
        <w:rPr>
          <w:rFonts w:ascii="Times New Roman" w:cs="Times New Roman" w:eastAsia="Times New Roman" w:hAnsi="Times New Roman"/>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207"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of which we are unaware. Any non-compliance at the state or local level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is regulated for accuracy, and if our advertising is determined to be false or misleading, we may face fines or sanctions.</w:t>
      </w:r>
    </w:p>
    <w:p>
      <w:pPr>
        <w:spacing w:after="0" w:line="256" w:lineRule="exact"/>
        <w:rPr>
          <w:sz w:val="20"/>
          <w:szCs w:val="20"/>
          <w:color w:val="auto"/>
        </w:rPr>
      </w:pPr>
    </w:p>
    <w:p>
      <w:pPr>
        <w:jc w:val="both"/>
        <w:ind w:firstLine="258"/>
        <w:spacing w:after="0" w:line="256" w:lineRule="auto"/>
        <w:rPr>
          <w:sz w:val="20"/>
          <w:szCs w:val="20"/>
          <w:color w:val="auto"/>
        </w:rPr>
      </w:pPr>
      <w:r>
        <w:rPr>
          <w:rFonts w:ascii="Times New Roman" w:cs="Times New Roman" w:eastAsia="Times New Roman" w:hAnsi="Times New Roman"/>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revise or withdraw our campaign and possibly face fines or sanctions, which could have a material adverse effect on our sales and operating results.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14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drug laws (including FDA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product labeling, advertising and marketing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restricting the sale and advertising of certain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present in certain of our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or packaging present in certain of our products to meet government objectives to combat climate change or certain labor practices;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discouraging the consumption of products or ingredients or altering the package or portion size of certain of our products;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consumer protection and disclosure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requirements, including the imposition or proposed imposition of new or increased taxes or other limitations on the sale of our products; competition laws;</w:t>
      </w: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including the U.S. Foreign Corrupt Practices Act of 1977, as amended (the “FCPA”), and the UK Bribery Act of 2010 (the “Bribery Act”);</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and anti-boycott laws, including laws administered by the U.S. Department of Treasury, Office of Foreign Assets Control (“OFAC”) and the European Union (“EU”);</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are contract manufacturers are located;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regulating the price we may charge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from any required disclosures related to climate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and environmental laws.</w:t>
      </w:r>
    </w:p>
    <w:p>
      <w:pPr>
        <w:spacing w:after="0" w:line="234" w:lineRule="exact"/>
        <w:rPr>
          <w:sz w:val="20"/>
          <w:szCs w:val="20"/>
          <w:color w:val="auto"/>
        </w:rPr>
      </w:pPr>
    </w:p>
    <w:p>
      <w:pPr>
        <w:jc w:val="both"/>
        <w:ind w:firstLine="251"/>
        <w:spacing w:after="0" w:line="258" w:lineRule="auto"/>
        <w:rPr>
          <w:sz w:val="20"/>
          <w:szCs w:val="20"/>
          <w:color w:val="auto"/>
        </w:rPr>
      </w:pPr>
      <w:r>
        <w:rPr>
          <w:rFonts w:ascii="Times New Roman" w:cs="Times New Roman" w:eastAsia="Times New Roman" w:hAnsi="Times New Roman"/>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effect on our reputation.</w:t>
      </w:r>
    </w:p>
    <w:p>
      <w:pPr>
        <w:spacing w:after="0" w:line="256" w:lineRule="exact"/>
        <w:rPr>
          <w:sz w:val="20"/>
          <w:szCs w:val="20"/>
          <w:color w:val="auto"/>
        </w:rPr>
      </w:pPr>
    </w:p>
    <w:p>
      <w:pPr>
        <w:jc w:val="both"/>
        <w:ind w:firstLine="304"/>
        <w:spacing w:after="0" w:line="261" w:lineRule="auto"/>
        <w:rPr>
          <w:sz w:val="20"/>
          <w:szCs w:val="20"/>
          <w:color w:val="auto"/>
        </w:rPr>
      </w:pPr>
      <w:r>
        <w:rPr>
          <w:rFonts w:ascii="Times New Roman" w:cs="Times New Roman" w:eastAsia="Times New Roman" w:hAnsi="Times New Roman"/>
          <w:sz w:val="18"/>
          <w:szCs w:val="18"/>
          <w:color w:val="auto"/>
        </w:rPr>
        <w:t>Occasionally, we may defend against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207"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Capital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financial condition and ability to operate our company, and we may incur additional debt.</w:t>
      </w:r>
    </w:p>
    <w:p>
      <w:pPr>
        <w:spacing w:after="0" w:line="256" w:lineRule="exact"/>
        <w:rPr>
          <w:sz w:val="20"/>
          <w:szCs w:val="20"/>
          <w:color w:val="auto"/>
        </w:rPr>
      </w:pPr>
    </w:p>
    <w:p>
      <w:pPr>
        <w:jc w:val="both"/>
        <w:ind w:firstLine="176"/>
        <w:spacing w:after="0" w:line="258" w:lineRule="auto"/>
        <w:rPr>
          <w:sz w:val="20"/>
          <w:szCs w:val="20"/>
          <w:color w:val="auto"/>
        </w:rPr>
      </w:pPr>
      <w:r>
        <w:rPr>
          <w:rFonts w:ascii="Times New Roman" w:cs="Times New Roman" w:eastAsia="Times New Roman" w:hAnsi="Times New Roman"/>
          <w:sz w:val="18"/>
          <w:szCs w:val="18"/>
          <w:color w:val="auto"/>
        </w:rPr>
        <w:t>As of August 27, 2022, we had approximately $406.5 million in outstanding term loan indebtedness and a revolving credit facility with availability of up to $75 million with no amounts drawn on that revolving credit facility.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210"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facilities governing our debt arrangements contain financial and other covenants.</w:t>
      </w:r>
    </w:p>
    <w:p>
      <w:pPr>
        <w:spacing w:after="0" w:line="256" w:lineRule="exact"/>
        <w:rPr>
          <w:sz w:val="20"/>
          <w:szCs w:val="20"/>
          <w:color w:val="auto"/>
        </w:rPr>
      </w:pPr>
    </w:p>
    <w:p>
      <w:pPr>
        <w:jc w:val="both"/>
        <w:ind w:firstLine="183"/>
        <w:spacing w:after="0" w:line="254" w:lineRule="auto"/>
        <w:rPr>
          <w:sz w:val="20"/>
          <w:szCs w:val="20"/>
          <w:color w:val="auto"/>
        </w:rPr>
      </w:pPr>
      <w:r>
        <w:rPr>
          <w:rFonts w:ascii="Times New Roman" w:cs="Times New Roman" w:eastAsia="Times New Roman" w:hAnsi="Times New Roman"/>
          <w:sz w:val="18"/>
          <w:szCs w:val="18"/>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may adversely affect our earnings and cash flows.</w:t>
      </w:r>
    </w:p>
    <w:p>
      <w:pPr>
        <w:spacing w:after="0" w:line="256" w:lineRule="exact"/>
        <w:rPr>
          <w:sz w:val="20"/>
          <w:szCs w:val="20"/>
          <w:color w:val="auto"/>
        </w:rPr>
      </w:pPr>
    </w:p>
    <w:p>
      <w:pPr>
        <w:jc w:val="both"/>
        <w:ind w:firstLine="188"/>
        <w:spacing w:after="0" w:line="254" w:lineRule="auto"/>
        <w:rPr>
          <w:sz w:val="20"/>
          <w:szCs w:val="20"/>
          <w:color w:val="auto"/>
        </w:rPr>
      </w:pPr>
      <w:r>
        <w:rPr>
          <w:rFonts w:ascii="Times New Roman" w:cs="Times New Roman" w:eastAsia="Times New Roman" w:hAnsi="Times New Roman"/>
          <w:sz w:val="18"/>
          <w:szCs w:val="18"/>
          <w:color w:val="auto"/>
        </w:rPr>
        <w:t>Our indebtedness under our revolving credit facility bears interest at variable interest rates that use the Secured Overnight Financing Rate (“SOFR”) as a benchmark rate. SOFR is calculated based on short-term repurchase agreements, backed by Treasury securities. SOFR is observed and backward looking, which stands in contrast with the London Inter-Bank Offered Rate (“LIBOR”) under the previous methodology, which is an estimated forward-looking rate and relies, to some degree, on the expert judgment of submitting panel members. Given that SOFR is a secured rate backed by government securities, it is a rate that does not take into account bank credit risk, as was the case with LIBOR. SOFR is therefore likely to be lower than LIBOR and is less likely to correlate with the funding costs of financial institutions. Because of these and other differences, there is no assurance that SOFR will perform in the same way as LIBOR would have performed at any time, and there is no guarantee that it is a comparable substitute for LIBOR. Whether or not SOFR attains market traction as a LIBOR replacement tool remains in question</w:t>
      </w:r>
    </w:p>
    <w:p>
      <w:pPr>
        <w:spacing w:after="0" w:line="21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At this time, it is not possible to predict the effect of any establishment of alternative reference rates or any other reforms that may be enacted in the United Kingdom or elsewhere. Uncertainty as to the nature of such potential changes, alternative reference rates, including SOFR, or other reforms may adversely affect the trading market for LIBOR- or SOFR-based securities, including ours. As a result, our interest expense may increase, our ability to refinance some or all of our existing indebtedness may be affected, and our available cash flow may be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it may not be available on acceptable terms or at all.</w:t>
      </w:r>
    </w:p>
    <w:p>
      <w:pPr>
        <w:spacing w:after="0" w:line="256"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because of operating as a public company, and our management has been and will continue to be required to devote substantial time to compliance efforts.</w:t>
      </w:r>
    </w:p>
    <w:p>
      <w:pPr>
        <w:spacing w:after="0" w:line="18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insurance and other expenses because of being a public company. The Dodd-Frank Wall Street Reform and Customer Protection Act (the “Dodd-Frank Act”) and the Sarbanes-Oxley Act of 2002 (the “Sarbanes-Oxley Act”), and related rules implemented by the SEC,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We may be unable to hire, train or retain necessary staff and may be reliant on engaging outside consultants or professionals, which could adversely affect our business if our internal infrastructure is inadequate to fulfill our public company obligations. These laws, rules and regulations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1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more investors and other market professionals are expecting more detailed environmental, social and governance or ESG reporting from public companies of our size that are currently produced by public companies with human and financial resources that are greater than ours. Furthermore, the SEC has proposed rule changes that would require registrants to include certain climate-related disclosures, including greenhouse gas emission data with third-party attestation and climate-related financial statement metrics in a note to their audited financial statements. These SEC proposals related to the enhancement and standardization of climate-related disclosures may require us to change our accounting policies, to alter our operational policies and to implement new or enhance existing systems so that they reflect new or amended financial reporting standards, or to restate our published financial statements. Such changes may have an adverse effect on our business, financial position and operating results, or cause an adverse deviation from our revenue and operating profit targets, which may negatively affect our financial results.</w:t>
      </w:r>
    </w:p>
    <w:p>
      <w:pPr>
        <w:spacing w:after="0" w:line="219" w:lineRule="exact"/>
        <w:rPr>
          <w:sz w:val="20"/>
          <w:szCs w:val="20"/>
          <w:color w:val="auto"/>
        </w:rPr>
      </w:pPr>
    </w:p>
    <w:p>
      <w:pPr>
        <w:jc w:val="both"/>
        <w:ind w:firstLine="172"/>
        <w:spacing w:after="0" w:line="282" w:lineRule="auto"/>
        <w:rPr>
          <w:sz w:val="20"/>
          <w:szCs w:val="20"/>
          <w:color w:val="auto"/>
        </w:rPr>
      </w:pPr>
      <w:r>
        <w:rPr>
          <w:rFonts w:ascii="Times New Roman" w:cs="Times New Roman" w:eastAsia="Times New Roman" w:hAnsi="Times New Roman"/>
          <w:sz w:val="18"/>
          <w:szCs w:val="18"/>
          <w:color w:val="auto"/>
        </w:rPr>
        <w:t>As a result, we expect to incur additional expenses to meet these reporting expectations as well as any climate related reporting mandated in the future by government regulations.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implement appropriate systems, procedures and controls, we may not be able to successfully procure, offer or ship our products, grow our business and account for transactions in an appropriate and timely manner.</w:t>
      </w:r>
    </w:p>
    <w:p>
      <w:pPr>
        <w:spacing w:after="0" w:line="186" w:lineRule="exact"/>
        <w:rPr>
          <w:sz w:val="20"/>
          <w:szCs w:val="20"/>
          <w:color w:val="auto"/>
        </w:rPr>
      </w:pPr>
    </w:p>
    <w:p>
      <w:pPr>
        <w:jc w:val="both"/>
        <w:ind w:firstLine="207"/>
        <w:spacing w:after="0" w:line="255" w:lineRule="auto"/>
        <w:rPr>
          <w:sz w:val="20"/>
          <w:szCs w:val="20"/>
          <w:color w:val="auto"/>
        </w:rPr>
      </w:pPr>
      <w:r>
        <w:rPr>
          <w:rFonts w:ascii="Times New Roman" w:cs="Times New Roman" w:eastAsia="Times New Roman" w:hAnsi="Times New Roman"/>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recently implemented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 current and future changes in our business. Failure to implement promptly appropriate internal systems, procedures and controls could materially and adversely affect our business,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w:t>
      </w:r>
    </w:p>
    <w:p>
      <w:pPr>
        <w:spacing w:after="0" w:line="202" w:lineRule="exact"/>
        <w:rPr>
          <w:sz w:val="20"/>
          <w:szCs w:val="20"/>
          <w:color w:val="auto"/>
        </w:rPr>
      </w:pPr>
    </w:p>
    <w:p>
      <w:pPr>
        <w:jc w:val="both"/>
        <w:ind w:firstLine="186"/>
        <w:spacing w:after="0" w:line="26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In May 2021 we identified a material weakness in our internal control over financial reporting.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252"/>
        <w:spacing w:after="0" w:line="253" w:lineRule="auto"/>
        <w:rPr>
          <w:sz w:val="20"/>
          <w:szCs w:val="20"/>
          <w:color w:val="auto"/>
        </w:rPr>
      </w:pPr>
      <w:r>
        <w:rPr>
          <w:rFonts w:ascii="Times New Roman" w:cs="Times New Roman" w:eastAsia="Times New Roman" w:hAnsi="Times New Roman"/>
          <w:sz w:val="18"/>
          <w:szCs w:val="18"/>
          <w:color w:val="auto"/>
        </w:rPr>
        <w:t>On April 12, 2021, the staff of the SEC issued a staff statement (the “SEC Statement”) on the accounting and reporting considerations for warrants issued by special purpose acquisition companies (“SPACs”). Specifically, the SEC Statement focused in part on provisions in warrant agreements that provide for potential changes to the settlement amounts dependent upon the characteristics of the warrant holder. Following consideration of the guidance in the SEC Statement, we concluded that our warrants issued through private placement (the “Private Warrants”) should be classified as a liability and measured at fair value, with changes in fair value each period reported in earnings. As a result, on May 13, 2021, management and the audit committee of our board of directors determined that our previously issued fiscal quarterly and year-to-date unaudited consolidated financial statements for November 28, 2020 and February 27, 2021 included and our audited consolidated financial statements for the fiscal years ending August 29, 2020, August 31, 2019 and August 25, 2018 should no longer be relied upon and would need to be restated. As part of the restatement process, we identified a material weakness in our internal control over financial reporting related to the determination of the appropriate accounting and classification of our Private Warrants. This material weakness was fully remediated with the filing of restated financial statements with the SEC for the required affected periods.</w:t>
      </w:r>
    </w:p>
    <w:p>
      <w:pPr>
        <w:spacing w:after="0" w:line="221" w:lineRule="exact"/>
        <w:rPr>
          <w:sz w:val="20"/>
          <w:szCs w:val="20"/>
          <w:color w:val="auto"/>
        </w:rPr>
      </w:pPr>
    </w:p>
    <w:p>
      <w:pPr>
        <w:jc w:val="both"/>
        <w:ind w:firstLine="280"/>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We developed and implemented a remediation plan to address the material weakness related to the accounting for warrants. These remediation measures may from time to time be time consuming and costly and there is no assurance that the remedial measures we have taken to date, or any remedial measures we may take in the future, will be sufficient to avoid potential future material weaknesses. The material weakness will not be considered remediated until a sustained period of time has passed to allow management to test the design and operational effectiveness of the corrective actions.</w:t>
      </w:r>
    </w:p>
    <w:p>
      <w:pPr>
        <w:spacing w:after="0" w:line="216"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8"/>
          <w:szCs w:val="18"/>
          <w:color w:val="auto"/>
        </w:rPr>
        <w:t>We may identify new material weaknesses in the future, which could limit our ability to prevent or detect a material misstatement of our annual or interim financial statements. The occurrence of, or failure to remediate, the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our the market price of our common stock.</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certain of our financial statements subjected us to increased costs and may subject us to additional risks and uncertainties, including the increased possibility of legal proceedings.</w:t>
      </w:r>
    </w:p>
    <w:p>
      <w:pPr>
        <w:spacing w:after="0" w:line="186"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On April 12, 2021, the staff of the SEC issued the SEC Statement on the accounting and reporting considerations for warrants issued by SPACs. Specifically, the SEC Statement focused in part on provisions in warrant agreements that provide for potential changes to the settlement amounts dependent upon the characteristics of the warrant holder. Following consideration of the guidance in the SEC Statement, we concluded that our Private Warrants should be classified as a liability and measured at fair value, with changes in fair value each period reported in earnings. As a result, on May 13, 2021, management and the audit committee of our board of directors determined that our previously issued fiscal quarterly and year-to-date unaudited consolidated financial statements for November 28, 2020 and February 27, 2021 and our audited consolidated financial statements for the fiscal years ending August 29, 2020, August 31, 2019 and August 25, 2018 should no longer be relied upon and would need to be restated. In addition, we determined that related press releases, earnings releases, and investor communications describing our financial statements for these periods should no longer be relied upon. The errors identified are non-cash and related to our classification of our Private Warrants. Accordingly, we restated the annual, quarterly and year-to-date audited and unaudited consolidated financial statements for these periods.</w:t>
      </w:r>
    </w:p>
    <w:p>
      <w:pPr>
        <w:spacing w:after="0" w:line="221" w:lineRule="exact"/>
        <w:rPr>
          <w:sz w:val="20"/>
          <w:szCs w:val="20"/>
          <w:color w:val="auto"/>
        </w:rPr>
      </w:pPr>
    </w:p>
    <w:p>
      <w:pPr>
        <w:jc w:val="both"/>
        <w:ind w:firstLine="197"/>
        <w:spacing w:after="0" w:line="254" w:lineRule="auto"/>
        <w:rPr>
          <w:sz w:val="20"/>
          <w:szCs w:val="20"/>
          <w:color w:val="auto"/>
        </w:rPr>
      </w:pPr>
      <w:r>
        <w:rPr>
          <w:rFonts w:ascii="Times New Roman" w:cs="Times New Roman" w:eastAsia="Times New Roman" w:hAnsi="Times New Roman"/>
          <w:sz w:val="18"/>
          <w:szCs w:val="18"/>
          <w:color w:val="auto"/>
        </w:rPr>
        <w:t>In connection with the restatement, we identified a material weakness in our internal controls over financial reporting related to the determination of the appropriate accounting and classification of our Private Warrants. As a result of that material weakness, the restatement, the change in accounting for our Private Warrants, and other matters raised or that may in the future be raised by the SEC, we incurred increased accounting and legal costs and may become subject to additional risks and uncertainties, including, among others, the increased possibility of legal proceedings or a review by the SEC and other regulatory bodies. The costs of defending against such legal proceedings or administrative actions could be significant. In addition, we could face monetary judgments, penalties or other sanctions that could have a material adverse effect on our business, results of operations and financial condition and could have an adverse effect on the market price of our common stock. This material weakness was fully remediated with the filing of restated financial statements with the SEC for the required affected periods.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86" w:lineRule="exact"/>
        <w:rPr>
          <w:sz w:val="20"/>
          <w:szCs w:val="20"/>
          <w:color w:val="auto"/>
        </w:rPr>
      </w:pPr>
    </w:p>
    <w:p>
      <w:pPr>
        <w:jc w:val="both"/>
        <w:ind w:firstLine="237"/>
        <w:spacing w:after="0" w:line="25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56"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historical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56" w:lineRule="exact"/>
        <w:rPr>
          <w:sz w:val="20"/>
          <w:szCs w:val="20"/>
          <w:color w:val="auto"/>
        </w:rPr>
      </w:pPr>
    </w:p>
    <w:p>
      <w:pPr>
        <w:jc w:val="both"/>
        <w:ind w:firstLine="181"/>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or other dilution of the Company’s equity, which may adversely affect the market price of our common stock.</w:t>
      </w:r>
    </w:p>
    <w:p>
      <w:pPr>
        <w:spacing w:after="0" w:line="256"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We are not generally restricted from issuing additional shares of common stock, or any securities convertible into or exchangeable for, or that represent the right to receive, shares of common stock. Issuing any additional shares of common stock or preferred shares or securities convertible into, exchangeable for or that represent the right to receive shares of common stock or the exercise of such securities could be substantially dilutive to holders of our common stock.</w:t>
      </w:r>
    </w:p>
    <w:p>
      <w:pPr>
        <w:spacing w:after="0" w:line="20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because of sales of our common stock made in the future or the perception that such sales could occur. Because our decision to issue securities in any future offering will depend on market conditions and other factors beyond our control, we cannot predict or estimate the amount, timing or nature of future offerings, if any. Thus, our stockholders bear the risk of future offerings reducing the market price of our common stock and diluting their holdings in the Company.</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86"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materially and adversely affect our business, financial condition and results of operations.</w:t>
      </w:r>
    </w:p>
    <w:p>
      <w:pPr>
        <w:spacing w:after="0" w:line="256" w:lineRule="exact"/>
        <w:rPr>
          <w:sz w:val="20"/>
          <w:szCs w:val="20"/>
          <w:color w:val="auto"/>
        </w:rPr>
      </w:pPr>
    </w:p>
    <w:p>
      <w:pPr>
        <w:jc w:val="both"/>
        <w:ind w:firstLine="226"/>
        <w:spacing w:after="0" w:line="253" w:lineRule="auto"/>
        <w:rPr>
          <w:sz w:val="20"/>
          <w:szCs w:val="20"/>
          <w:color w:val="auto"/>
        </w:rPr>
      </w:pPr>
      <w:r>
        <w:rPr>
          <w:rFonts w:ascii="Times New Roman" w:cs="Times New Roman" w:eastAsia="Times New Roman" w:hAnsi="Times New Roman"/>
          <w:sz w:val="18"/>
          <w:szCs w:val="18"/>
          <w:color w:val="auto"/>
        </w:rPr>
        <w:t>Adverse and uncertain economic conditions, such as those caused by the inflationary environment experienced in fiscal year 2022 that is expected to continue in fiscal year 2023, geopolitical events and COVID-19, have, in the past affected, and, in the future,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and periods of high inflation, making it more difficult to sell our premium products. Due to the relative costs of our products, during economic downturns and periods of high inflation, it may be more difficult to convince consumers to switch to or continue to use our brands or convince new users to choose our brands without expensive sampling programs and price promotions.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regulatory, economic, political and social risks in the countries in which we operate.</w:t>
      </w:r>
    </w:p>
    <w:p>
      <w:pPr>
        <w:spacing w:after="0" w:line="256" w:lineRule="exact"/>
        <w:rPr>
          <w:sz w:val="20"/>
          <w:szCs w:val="20"/>
          <w:color w:val="auto"/>
        </w:rPr>
      </w:pPr>
    </w:p>
    <w:p>
      <w:pPr>
        <w:jc w:val="both"/>
        <w:ind w:firstLine="197"/>
        <w:spacing w:after="0" w:line="255" w:lineRule="auto"/>
        <w:rPr>
          <w:sz w:val="20"/>
          <w:szCs w:val="20"/>
          <w:color w:val="auto"/>
        </w:rPr>
      </w:pPr>
      <w:r>
        <w:rPr>
          <w:rFonts w:ascii="Times New Roman" w:cs="Times New Roman" w:eastAsia="Times New Roman" w:hAnsi="Times New Roman"/>
          <w:sz w:val="18"/>
          <w:szCs w:val="18"/>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nutritional approaches and perceptions of our brands and business operations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216" w:lineRule="exact"/>
        <w:rPr>
          <w:sz w:val="20"/>
          <w:szCs w:val="20"/>
          <w:color w:val="auto"/>
        </w:rPr>
      </w:pPr>
    </w:p>
    <w:p>
      <w:pPr>
        <w:jc w:val="both"/>
        <w:ind w:firstLine="211"/>
        <w:spacing w:after="0" w:line="254" w:lineRule="auto"/>
        <w:rPr>
          <w:sz w:val="20"/>
          <w:szCs w:val="20"/>
          <w:color w:val="auto"/>
        </w:rPr>
      </w:pPr>
      <w:r>
        <w:rPr>
          <w:rFonts w:ascii="Times New Roman" w:cs="Times New Roman" w:eastAsia="Times New Roman" w:hAnsi="Times New Roman"/>
          <w:sz w:val="18"/>
          <w:szCs w:val="18"/>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or the Bribery Act, export controls and economic sanctions programs, including those administered by the OFAC and the EU.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 In addition, the Bribery Act extends beyond bribery of foreign public officials and also applies to transactions with private persons. The provisions of the Bribery Act are also more onerous than the FCPA in several other respects, including jurisdictional reach, non-exemption of facilitation payments and, potentially, penalties.</w:t>
      </w:r>
    </w:p>
    <w:p>
      <w:pPr>
        <w:spacing w:after="0" w:line="219" w:lineRule="exact"/>
        <w:rPr>
          <w:sz w:val="20"/>
          <w:szCs w:val="20"/>
          <w:color w:val="auto"/>
        </w:rPr>
      </w:pPr>
    </w:p>
    <w:p>
      <w:pPr>
        <w:jc w:val="both"/>
        <w:ind w:firstLine="276"/>
        <w:spacing w:after="0" w:line="258" w:lineRule="auto"/>
        <w:rPr>
          <w:sz w:val="20"/>
          <w:szCs w:val="20"/>
          <w:color w:val="auto"/>
        </w:rPr>
      </w:pPr>
      <w:r>
        <w:rPr>
          <w:rFonts w:ascii="Times New Roman" w:cs="Times New Roman" w:eastAsia="Times New Roman" w:hAnsi="Times New Roman"/>
          <w:sz w:val="18"/>
          <w:szCs w:val="18"/>
          <w:color w:val="auto"/>
        </w:rPr>
        <w:t>Our continued expansion outside the United States, including in developing countries, and our development of new partnerships and joint venture relationships worldwide, could increase the risk of FCPA, OFAC, Bribery Act or EU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99"/>
        <w:spacing w:after="0" w:line="266" w:lineRule="auto"/>
        <w:rPr>
          <w:sz w:val="20"/>
          <w:szCs w:val="20"/>
          <w:color w:val="auto"/>
        </w:rPr>
      </w:pPr>
      <w:r>
        <w:rPr>
          <w:rFonts w:ascii="Times New Roman" w:cs="Times New Roman" w:eastAsia="Times New Roman" w:hAnsi="Times New Roman"/>
          <w:sz w:val="18"/>
          <w:szCs w:val="18"/>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fluctuations in exchange rates, which may materially and adversely affect our operating results.</w:t>
      </w:r>
    </w:p>
    <w:p>
      <w:pPr>
        <w:spacing w:after="0" w:line="256" w:lineRule="exact"/>
        <w:rPr>
          <w:sz w:val="20"/>
          <w:szCs w:val="20"/>
          <w:color w:val="auto"/>
        </w:rPr>
      </w:pPr>
    </w:p>
    <w:p>
      <w:pPr>
        <w:jc w:val="both"/>
        <w:ind w:firstLine="249"/>
        <w:spacing w:after="0" w:line="261" w:lineRule="auto"/>
        <w:rPr>
          <w:sz w:val="20"/>
          <w:szCs w:val="20"/>
          <w:color w:val="auto"/>
        </w:rPr>
      </w:pPr>
      <w:r>
        <w:rPr>
          <w:rFonts w:ascii="Times New Roman" w:cs="Times New Roman" w:eastAsia="Times New Roman" w:hAnsi="Times New Roman"/>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third-party manufacturing is completed in Canada. Any U.S. dollar weakness may therefore materially and adversely affect revenue and cash flows while also increasing supply and manufacturing costs.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Centerview Capital Holdings LLC (“Centerview Capital”) and Centerview Partners and their respective affiliates, excepted as provided below.</w:t>
      </w:r>
    </w:p>
    <w:p>
      <w:pPr>
        <w:spacing w:after="0" w:line="202" w:lineRule="exact"/>
        <w:rPr>
          <w:sz w:val="20"/>
          <w:szCs w:val="20"/>
          <w:color w:val="auto"/>
        </w:rPr>
      </w:pPr>
    </w:p>
    <w:p>
      <w:pPr>
        <w:jc w:val="both"/>
        <w:ind w:firstLine="181"/>
        <w:spacing w:after="0" w:line="253"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Conyers Park Sponsor, Centerview Capital and Centerview Partners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17"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3" w:lineRule="exact"/>
        <w:rPr>
          <w:sz w:val="20"/>
          <w:szCs w:val="20"/>
          <w:color w:val="auto"/>
        </w:rPr>
      </w:pPr>
    </w:p>
    <w:p>
      <w:pPr>
        <w:jc w:val="both"/>
        <w:ind w:firstLine="204"/>
        <w:spacing w:after="0"/>
        <w:rPr>
          <w:sz w:val="20"/>
          <w:szCs w:val="20"/>
          <w:color w:val="auto"/>
        </w:rPr>
      </w:pPr>
      <w:r>
        <w:rPr>
          <w:rFonts w:ascii="Times New Roman" w:cs="Times New Roman" w:eastAsia="Times New Roman" w:hAnsi="Times New Roman"/>
          <w:sz w:val="18"/>
          <w:szCs w:val="18"/>
          <w:color w:val="auto"/>
        </w:rPr>
        <w:t>Our corporate headquarters is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 80202. We lease this property, which occupies approximately 27,600 square feet. In addition, we lease or otherwise have rights to use office space and storage space in El Segundo, California, Broomfield, Colorado, Bentonville metro-area, Arkansas, and Naples, Florida. We also lease two distribution centers in Greenfield, Indiana. We utilize over 1.29 million square feet of floor space among our distribution centers.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common stock is currently quoted on the Nasdaq Capital Market under the symbol “SMPL.”</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October 17, 2022, there were 98,993,701 shares outstanding and 20 record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8"/>
          <w:szCs w:val="18"/>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4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 Number of Shares Purchased</w:t>
            </w:r>
          </w:p>
        </w:tc>
        <w:tc>
          <w:tcPr>
            <w:tcW w:w="140" w:type="dxa"/>
            <w:vAlign w:val="bottom"/>
          </w:tcPr>
          <w:p>
            <w:pPr>
              <w:spacing w:after="0"/>
              <w:rPr>
                <w:sz w:val="18"/>
                <w:szCs w:val="18"/>
                <w:color w:val="auto"/>
              </w:rPr>
            </w:pPr>
          </w:p>
        </w:tc>
        <w:tc>
          <w:tcPr>
            <w:tcW w:w="24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Maximum Dollar Value of Shares</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Total Number of</w:t>
            </w:r>
          </w:p>
        </w:tc>
        <w:tc>
          <w:tcPr>
            <w:tcW w:w="180" w:type="dxa"/>
            <w:vAlign w:val="bottom"/>
          </w:tcPr>
          <w:p>
            <w:pPr>
              <w:spacing w:after="0"/>
              <w:rPr>
                <w:sz w:val="22"/>
                <w:szCs w:val="2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Average Price</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as Part of Publicly Announced</w:t>
            </w:r>
          </w:p>
        </w:tc>
        <w:tc>
          <w:tcPr>
            <w:tcW w:w="140" w:type="dxa"/>
            <w:vAlign w:val="bottom"/>
          </w:tcPr>
          <w:p>
            <w:pPr>
              <w:spacing w:after="0"/>
              <w:rPr>
                <w:sz w:val="22"/>
                <w:szCs w:val="22"/>
                <w:color w:val="auto"/>
              </w:rPr>
            </w:pPr>
          </w:p>
        </w:tc>
        <w:tc>
          <w:tcPr>
            <w:tcW w:w="24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That May Yet Be Purchased Under</w:t>
            </w:r>
          </w:p>
        </w:tc>
        <w:tc>
          <w:tcPr>
            <w:tcW w:w="0" w:type="dxa"/>
            <w:vAlign w:val="bottom"/>
          </w:tcPr>
          <w:p>
            <w:pPr>
              <w:spacing w:after="0"/>
              <w:rPr>
                <w:sz w:val="1"/>
                <w:szCs w:val="1"/>
                <w:color w:val="auto"/>
              </w:rPr>
            </w:pPr>
          </w:p>
        </w:tc>
      </w:tr>
      <w:tr>
        <w:trPr>
          <w:trHeight w:val="262"/>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Shares Purchased</w:t>
            </w:r>
          </w:p>
        </w:tc>
        <w:tc>
          <w:tcPr>
            <w:tcW w:w="180" w:type="dxa"/>
            <w:vAlign w:val="bottom"/>
          </w:tcPr>
          <w:p>
            <w:pPr>
              <w:spacing w:after="0"/>
              <w:rPr>
                <w:sz w:val="22"/>
                <w:szCs w:val="2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Paid Per Share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Plans or Programs</w:t>
            </w:r>
            <w:r>
              <w:rPr>
                <w:rFonts w:ascii="Times New Roman" w:cs="Times New Roman" w:eastAsia="Times New Roman" w:hAnsi="Times New Roman"/>
                <w:sz w:val="21"/>
                <w:szCs w:val="21"/>
                <w:color w:val="auto"/>
                <w:w w:val="98"/>
                <w:vertAlign w:val="superscript"/>
              </w:rPr>
              <w:t>(1)</w:t>
            </w:r>
          </w:p>
        </w:tc>
        <w:tc>
          <w:tcPr>
            <w:tcW w:w="140" w:type="dxa"/>
            <w:vAlign w:val="bottom"/>
          </w:tcPr>
          <w:p>
            <w:pPr>
              <w:spacing w:after="0"/>
              <w:rPr>
                <w:sz w:val="22"/>
                <w:szCs w:val="22"/>
                <w:color w:val="auto"/>
              </w:rPr>
            </w:pPr>
          </w:p>
        </w:tc>
        <w:tc>
          <w:tcPr>
            <w:tcW w:w="24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the Plans or Programs</w:t>
            </w:r>
            <w:r>
              <w:rPr>
                <w:rFonts w:ascii="Times New Roman" w:cs="Times New Roman" w:eastAsia="Times New Roman" w:hAnsi="Times New Roman"/>
                <w:sz w:val="21"/>
                <w:szCs w:val="21"/>
                <w:color w:val="auto"/>
                <w:w w:val="99"/>
                <w:vertAlign w:val="superscript"/>
              </w:rPr>
              <w:t>(1)</w:t>
            </w:r>
          </w:p>
        </w:tc>
        <w:tc>
          <w:tcPr>
            <w:tcW w:w="0" w:type="dxa"/>
            <w:vAlign w:val="bottom"/>
          </w:tcPr>
          <w:p>
            <w:pPr>
              <w:spacing w:after="0"/>
              <w:rPr>
                <w:sz w:val="1"/>
                <w:szCs w:val="1"/>
                <w:color w:val="auto"/>
              </w:rPr>
            </w:pPr>
          </w:p>
        </w:tc>
      </w:tr>
      <w:tr>
        <w:trPr>
          <w:trHeight w:val="156"/>
        </w:trPr>
        <w:tc>
          <w:tcPr>
            <w:tcW w:w="16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May 29, 2022 -</w:t>
            </w:r>
          </w:p>
        </w:tc>
        <w:tc>
          <w:tcPr>
            <w:tcW w:w="1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4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67,191,259</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25, 2022</w:t>
            </w: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June 26, 2022 -</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40" w:type="dxa"/>
            <w:vAlign w:val="bottom"/>
          </w:tcPr>
          <w:p>
            <w:pPr>
              <w:spacing w:after="0"/>
              <w:rPr>
                <w:sz w:val="14"/>
                <w:szCs w:val="14"/>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61,434,744</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23, 2022</w:t>
            </w: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July 24, 2022 -</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40" w:type="dxa"/>
            <w:vAlign w:val="bottom"/>
            <w:shd w:val="clear" w:color="auto" w:fill="CCEEFF"/>
          </w:tcPr>
          <w:p>
            <w:pPr>
              <w:spacing w:after="0"/>
              <w:rPr>
                <w:sz w:val="14"/>
                <w:szCs w:val="14"/>
                <w:color w:val="auto"/>
              </w:rPr>
            </w:pPr>
          </w:p>
        </w:tc>
        <w:tc>
          <w:tcPr>
            <w:tcW w:w="2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37,995,160</w:t>
            </w:r>
          </w:p>
        </w:tc>
        <w:tc>
          <w:tcPr>
            <w:tcW w:w="0" w:type="dxa"/>
            <w:vAlign w:val="bottom"/>
          </w:tcPr>
          <w:p>
            <w:pPr>
              <w:spacing w:after="0"/>
              <w:rPr>
                <w:sz w:val="1"/>
                <w:szCs w:val="1"/>
                <w:color w:val="auto"/>
              </w:rPr>
            </w:pPr>
          </w:p>
        </w:tc>
      </w:tr>
      <w:tr>
        <w:trPr>
          <w:trHeight w:val="213"/>
        </w:trPr>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27, 2022</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930,778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40" w:type="dxa"/>
            <w:vAlign w:val="bottom"/>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930,778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37,995,160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8"/>
        <w:spacing w:after="0" w:line="259" w:lineRule="auto"/>
        <w:tabs>
          <w:tab w:leader="none" w:pos="165"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adopted a $50.0 million stock repurchase program on November 13, 2018. On April 13, 2022, we announced that our Board of Directors had approved the addition of $50.0 million to our stock repurchase program, resulting in authorized stock repurchases of up to an aggregate of $100.0 million. As of August 27, 2022, approximately $38.0 million remained available under the stock repurchase program. Under the stock repurchase program, we may repurchase shares from time to time in the open market or in privately negotiated transactions. The stock repurchase program does not obligate us to acquire any specific number of shares or acquire shares over any specific period of time. We may suspend or discontinue the stock repurchase program at any time, and the stock repurchase program does not have an expiration date.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stockholder return over the last five fiscal years for (i) the Company’s common stock, (ii) the Standard &amp; Poor’s 500 Index, and (iii) the Standard &amp; Poor’s 500 Packaged Foods &amp; Meats Index. The graph assumes the value of the investment in our common stock and each index was $100.00 on August 26, 2017 and assumes reinvestment of any dividends.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377940" cy="3566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Annual Return Percentage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Fiscal Years Ending</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80" w:type="dxa"/>
            <w:vAlign w:val="bottom"/>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Name / Index</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26, 2017</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August 25, 2018</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31, 2019</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August 29, 2020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August 28, 2021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August 27, 2022</w:t>
            </w:r>
          </w:p>
        </w:tc>
        <w:tc>
          <w:tcPr>
            <w:tcW w:w="0" w:type="dxa"/>
            <w:vAlign w:val="bottom"/>
          </w:tcPr>
          <w:p>
            <w:pPr>
              <w:spacing w:after="0"/>
              <w:rPr>
                <w:sz w:val="1"/>
                <w:szCs w:val="1"/>
                <w:color w:val="auto"/>
              </w:rPr>
            </w:pPr>
          </w:p>
        </w:tc>
      </w:tr>
      <w:tr>
        <w:trPr>
          <w:trHeight w:val="23"/>
        </w:trPr>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Simply Good Foods Company</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249.41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213.72</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297.56</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265.24</w:t>
            </w:r>
          </w:p>
        </w:tc>
        <w:tc>
          <w:tcPr>
            <w:tcW w:w="0" w:type="dxa"/>
            <w:vAlign w:val="bottom"/>
          </w:tcPr>
          <w:p>
            <w:pPr>
              <w:spacing w:after="0"/>
              <w:rPr>
                <w:sz w:val="1"/>
                <w:szCs w:val="1"/>
                <w:color w:val="auto"/>
              </w:rPr>
            </w:pPr>
          </w:p>
        </w:tc>
      </w:tr>
      <w:tr>
        <w:trPr>
          <w:trHeight w:val="24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21"/>
                <w:szCs w:val="21"/>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117.67</w:t>
            </w:r>
          </w:p>
        </w:tc>
        <w:tc>
          <w:tcPr>
            <w:tcW w:w="140" w:type="dxa"/>
            <w:vAlign w:val="bottom"/>
          </w:tcPr>
          <w:p>
            <w:pPr>
              <w:spacing w:after="0"/>
              <w:rPr>
                <w:sz w:val="21"/>
                <w:szCs w:val="21"/>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119.79</w:t>
            </w:r>
          </w:p>
        </w:tc>
        <w:tc>
          <w:tcPr>
            <w:tcW w:w="120" w:type="dxa"/>
            <w:vAlign w:val="bottom"/>
          </w:tcPr>
          <w:p>
            <w:pPr>
              <w:spacing w:after="0"/>
              <w:rPr>
                <w:sz w:val="21"/>
                <w:szCs w:val="21"/>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143.59</w:t>
            </w:r>
          </w:p>
        </w:tc>
        <w:tc>
          <w:tcPr>
            <w:tcW w:w="140" w:type="dxa"/>
            <w:vAlign w:val="bottom"/>
          </w:tcPr>
          <w:p>
            <w:pPr>
              <w:spacing w:after="0"/>
              <w:rPr>
                <w:sz w:val="21"/>
                <w:szCs w:val="21"/>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184.58</w:t>
            </w:r>
          </w:p>
        </w:tc>
        <w:tc>
          <w:tcPr>
            <w:tcW w:w="140" w:type="dxa"/>
            <w:vAlign w:val="bottom"/>
          </w:tcPr>
          <w:p>
            <w:pPr>
              <w:spacing w:after="0"/>
              <w:rPr>
                <w:sz w:val="21"/>
                <w:szCs w:val="21"/>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166.09</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28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S&amp;P 500 Packaged Foods &amp; Meats</w:t>
            </w: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94.82</w:t>
            </w: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101.93</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110.35</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110.06</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122.48</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w:t>
            </w:r>
          </w:p>
        </w:tc>
        <w:tc>
          <w:tcPr>
            <w:tcW w:w="3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21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Our fiscal year ends the last Saturday in August. Our fiscal years 2022, 2021, and 2020 ended August 27, 2022, August 28, 2021, and August 29, 2020 , respectively, and were each fifty-two week periods. Our fiscal quarters are comprised of thirteen weeks each, except for fifty-three week fiscal periods for the which the fourth quarter is comprised of fourteen weeks, and end on the thirteenth Saturday of each quarter (fourteenth Saturday of the fourth quarter, when applicable). Our fiscal quarters for fiscal 2022 ended on November 27, 2021, February 26, 2022, May 28, 2022 and August 27, 2022.</w:t>
      </w:r>
    </w:p>
    <w:p>
      <w:pPr>
        <w:spacing w:after="0" w:line="207"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41"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We believe Simply Good Foods is poised to expand its wellness platform through innovation and organic growth along with acquisition opportunities in the nutritional snacking space.</w:t>
      </w:r>
    </w:p>
    <w:p>
      <w:pPr>
        <w:spacing w:after="0" w:line="226"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269"/>
        <w:spacing w:after="0" w:line="256" w:lineRule="auto"/>
        <w:rPr>
          <w:sz w:val="20"/>
          <w:szCs w:val="20"/>
          <w:color w:val="auto"/>
        </w:rPr>
      </w:pPr>
      <w:r>
        <w:rPr>
          <w:rFonts w:ascii="Times New Roman" w:cs="Times New Roman" w:eastAsia="Times New Roman" w:hAnsi="Times New Roman"/>
          <w:sz w:val="18"/>
          <w:szCs w:val="18"/>
          <w:color w:val="auto"/>
        </w:rPr>
        <w:t>Our consolidated results of operations for the fiscal year ended August 27, 2022 improved from the end of fiscal year 2021, driven in part by the increasing normalization of consumer mobility and shopper traffic patterns in brick-and-mortar retailers versus prior periods that were more severely pressured by COVID-19 mitigation strategies, including movement restrictions and closures of or reduced access to customer establishments. We expect our business performance during fiscal year 2023 will continue to be affected by the dynamic macroeconomic inflationary environment in the United States and elsewhere, elevated levels of supply chain cost inflation, and the level of consumer mobility, which includes the rate at which consumers return to working outside the home.</w:t>
      </w:r>
    </w:p>
    <w:p>
      <w:pPr>
        <w:spacing w:after="0" w:line="214" w:lineRule="exact"/>
        <w:rPr>
          <w:sz w:val="20"/>
          <w:szCs w:val="20"/>
          <w:color w:val="auto"/>
        </w:rPr>
      </w:pPr>
    </w:p>
    <w:p>
      <w:pPr>
        <w:jc w:val="both"/>
        <w:ind w:firstLine="212"/>
        <w:spacing w:after="0" w:line="253" w:lineRule="auto"/>
        <w:rPr>
          <w:sz w:val="20"/>
          <w:szCs w:val="20"/>
          <w:color w:val="auto"/>
        </w:rPr>
      </w:pPr>
      <w:r>
        <w:rPr>
          <w:rFonts w:ascii="Times New Roman" w:cs="Times New Roman" w:eastAsia="Times New Roman" w:hAnsi="Times New Roman"/>
          <w:sz w:val="18"/>
          <w:szCs w:val="18"/>
          <w:color w:val="auto"/>
        </w:rPr>
        <w:t>Overall consumer spending, particularly in the United States, continued to recover from the effects of the COVID-19 pandemic, which resulted in well documented industry-wide supply chain disruptions across the United States and globally during fiscal year 2022. As a result, during the fifty-two weeks ended August 27, 2022, we experienced corresponding unfavorable effects of higher raw material costs, higher freight and logistics costs, and supply chain challenges, including supply chain disruptions resulting from labor shortages and disruptions in ingredients. We expect these cost pressures and supply chain challenges to continue into fiscal year 2023. We have also continued to see contract manufacturer and logistics challenges, largely related to availability of labor, which we believe along with the ingredient shortages discussed above have contributed to lower retail and e-commerce sales of our products due to periodic out-of-stock situations, delayed recognition of sales and higher than historical inventory levels at times. We could experience additional lost sale opportunities at our retail and e-commerce customers if our products are not available for purchase because of continued or expanded disruptions in our supply chain relating to an inability to obtain ingredients or packaging, labor challenges at our logistics providers or our contract manufacturers, or if our customers experience delays in stocking our products.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firstLine="190"/>
        <w:spacing w:after="0" w:line="261" w:lineRule="auto"/>
        <w:rPr>
          <w:sz w:val="20"/>
          <w:szCs w:val="20"/>
          <w:color w:val="auto"/>
        </w:rPr>
      </w:pPr>
      <w:r>
        <w:rPr>
          <w:rFonts w:ascii="Times New Roman" w:cs="Times New Roman" w:eastAsia="Times New Roman" w:hAnsi="Times New Roman"/>
          <w:sz w:val="18"/>
          <w:szCs w:val="18"/>
          <w:color w:val="auto"/>
        </w:rPr>
        <w:t>We have actively engaged with our retail customers, contract manufacturers, and logistics and transportation providers, to meet demand for our products and to remain informed of any challenges within our business operations. We have also instituted price increases effective in the first and fourth quarters of fiscal year 2022. Management believes these price increases and additional cost savings initiatives will enable us to continue to invest in projects that drive growth.</w:t>
      </w:r>
    </w:p>
    <w:p>
      <w:pPr>
        <w:spacing w:after="0" w:line="207" w:lineRule="exact"/>
        <w:rPr>
          <w:sz w:val="20"/>
          <w:szCs w:val="20"/>
          <w:color w:val="auto"/>
        </w:rPr>
      </w:pPr>
    </w:p>
    <w:p>
      <w:pPr>
        <w:jc w:val="both"/>
        <w:ind w:firstLine="235"/>
        <w:spacing w:after="0" w:line="254" w:lineRule="auto"/>
        <w:rPr>
          <w:sz w:val="20"/>
          <w:szCs w:val="20"/>
          <w:color w:val="auto"/>
        </w:rPr>
      </w:pPr>
      <w:r>
        <w:rPr>
          <w:rFonts w:ascii="Times New Roman" w:cs="Times New Roman" w:eastAsia="Times New Roman" w:hAnsi="Times New Roman"/>
          <w:sz w:val="18"/>
          <w:szCs w:val="18"/>
          <w:color w:val="auto"/>
        </w:rPr>
        <w:t>The improvement in consumer mobility and shopper traffic patterns experienced during fiscal year 2022 has been variable, and there continues to be uncertainty related to the sustainability and longevity of these trends. The ultimate effect COVID-19, supply chain challenges, cost pressures discussed above, and the overall effects of the current high inflation environment on consumer purchasing patterns could have on our business continues to be not fully known.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 Factors contributing to the uncertainty described above, among other things, include (i) continued supply chain disruptions, including disruptions resulting from labor shortages and other cost pressures, (ii) changes to customer operations, (iii) a reversal in improving consumer purchasing and consumption behavior, and (iv) unforeseen business disruptions or other effects due to current global geopolitical tensions, including relating directly or indirectly to the Ukraine crisis.</w:t>
      </w:r>
    </w:p>
    <w:p>
      <w:pPr>
        <w:spacing w:after="0" w:line="215"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7" w:lineRule="exact"/>
        <w:rPr>
          <w:sz w:val="20"/>
          <w:szCs w:val="20"/>
          <w:color w:val="auto"/>
        </w:rPr>
      </w:pPr>
    </w:p>
    <w:p>
      <w:pPr>
        <w:jc w:val="both"/>
        <w:ind w:firstLine="219"/>
        <w:spacing w:after="0" w:line="282" w:lineRule="auto"/>
        <w:rPr>
          <w:sz w:val="20"/>
          <w:szCs w:val="20"/>
          <w:color w:val="auto"/>
        </w:rPr>
      </w:pPr>
      <w:r>
        <w:rPr>
          <w:rFonts w:ascii="Times New Roman" w:cs="Times New Roman" w:eastAsia="Times New Roman" w:hAnsi="Times New Roman"/>
          <w:sz w:val="18"/>
          <w:szCs w:val="18"/>
          <w:color w:val="auto"/>
        </w:rPr>
        <w:t>Please also see the information under Item 1A. “Risk Factors” for additional information regarding the risks of pandemics, such as COVID-19, higher raw material, freight, and logistics costs, and supply chain challenges.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we announced certain restructuring activities in conjunction with the implementation of our future-state organization design, which created a fully integrated organization with our completed Quest Acquisition.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right="20" w:firstLine="206"/>
        <w:spacing w:after="0" w:line="282" w:lineRule="auto"/>
        <w:rPr>
          <w:sz w:val="20"/>
          <w:szCs w:val="20"/>
          <w:color w:val="auto"/>
        </w:rPr>
      </w:pPr>
      <w:r>
        <w:rPr>
          <w:rFonts w:ascii="Times New Roman" w:cs="Times New Roman" w:eastAsia="Times New Roman" w:hAnsi="Times New Roman"/>
          <w:sz w:val="18"/>
          <w:szCs w:val="18"/>
          <w:color w:val="auto"/>
        </w:rPr>
        <w:t>We substantially completed our restructuring activities during fiscal year 2022. Since the announcement of the restructuring activities in May 2020, we incurred aggregate restructuring and restructuring-related costs of $9.9 million. As of August 27, 2022, there was no outstanding restructuring liability.</w:t>
      </w:r>
    </w:p>
    <w:p>
      <w:pPr>
        <w:spacing w:after="0" w:line="189"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8"/>
          <w:szCs w:val="18"/>
          <w:color w:val="auto"/>
        </w:rPr>
        <w:t xml:space="preserve">For the fifty-two weeks ended August 27, 2022, August 28, 2021, and August 29, 2020, we incurred a total of $0.1 million, $4.3 million, and $5.5 million in restructuring and restructuring-related costs, respectively, which have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Income and Comprehensive Income. Refer to Note 16, Restructuring and Related Charges, of our Consolidated Financial Statements included in this Report for additional information regarding restructuring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SimplyProtein Sale</w:t>
      </w:r>
    </w:p>
    <w:p>
      <w:pPr>
        <w:spacing w:after="0" w:line="256" w:lineRule="exact"/>
        <w:rPr>
          <w:sz w:val="20"/>
          <w:szCs w:val="20"/>
          <w:color w:val="auto"/>
        </w:rPr>
      </w:pPr>
    </w:p>
    <w:p>
      <w:pPr>
        <w:jc w:val="both"/>
        <w:ind w:firstLine="290"/>
        <w:spacing w:after="0" w:line="256" w:lineRule="auto"/>
        <w:rPr>
          <w:sz w:val="20"/>
          <w:szCs w:val="20"/>
          <w:color w:val="auto"/>
        </w:rPr>
      </w:pPr>
      <w:r>
        <w:rPr>
          <w:rFonts w:ascii="Times New Roman" w:cs="Times New Roman" w:eastAsia="Times New Roman" w:hAnsi="Times New Roman"/>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has enabled our management to focus its full time and resources on our core Atkins® and Quest® branded businesses and other strategic initiatives.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 Acquisition</w:t>
      </w:r>
    </w:p>
    <w:p>
      <w:pPr>
        <w:spacing w:after="0" w:line="256" w:lineRule="exact"/>
        <w:rPr>
          <w:sz w:val="20"/>
          <w:szCs w:val="20"/>
          <w:color w:val="auto"/>
        </w:rPr>
      </w:pPr>
    </w:p>
    <w:p>
      <w:pPr>
        <w:jc w:val="both"/>
        <w:ind w:firstLine="236"/>
        <w:spacing w:after="0" w:line="282" w:lineRule="auto"/>
        <w:rPr>
          <w:sz w:val="20"/>
          <w:szCs w:val="20"/>
          <w:color w:val="auto"/>
        </w:rPr>
      </w:pPr>
      <w:r>
        <w:rPr>
          <w:rFonts w:ascii="Times New Roman" w:cs="Times New Roman" w:eastAsia="Times New Roman" w:hAnsi="Times New Roman"/>
          <w:sz w:val="18"/>
          <w:szCs w:val="18"/>
          <w:color w:val="auto"/>
        </w:rPr>
        <w:t>In November 2019, we completed the acquisition of Quest, a healthy lifestyle food company, for a cash purchase price of approximately $1.0 billion (subject to customary adjustments). For more information, please see “Liquidity and Capital Resources—Quest Acquisition.”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Our Reportable Segment</w:t>
      </w:r>
    </w:p>
    <w:p>
      <w:pPr>
        <w:spacing w:after="0" w:line="256"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During the fifty-two weeks ended August 27, 2022, we substantially completed our efforts to fully integrate our operations and organization structure after the Quest Acquisition. We aligned the nature of our production processes and the methods used to distribute products to customers for the Atkins® and Quest® brands. We also designed our organizational structure to support entity-wide business functions across brands, products, customers, and geographic regions. Additionally, our chief operating decision maker reviews operating results and forecasts at the consolidated level. As a result, we determined our operations are organized into one, consolidated operating segment and reportable segment. Previously, during the fifty-two weeks ended August 28, 2021 and August 29, 2020, we had two operating segments, Atkins and Quest, which were aggregated into one reporting segment due to similar financial, economic and operating characteristics.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28"/>
        <w:spacing w:after="0" w:line="255" w:lineRule="auto"/>
        <w:rPr>
          <w:sz w:val="20"/>
          <w:szCs w:val="20"/>
          <w:color w:val="auto"/>
        </w:rPr>
      </w:pPr>
      <w:r>
        <w:rPr>
          <w:rFonts w:ascii="Times New Roman" w:cs="Times New Roman" w:eastAsia="Times New Roman" w:hAnsi="Times New Roman"/>
          <w:sz w:val="18"/>
          <w:szCs w:val="18"/>
          <w:color w:val="auto"/>
        </w:rPr>
        <w:t>During the fifty-two weeks ended August 27, 2022, our net sales increased $163.1 million, or 16.2%, and our gross profit increased $35.8 million, or 8.7%, compared to the fifty-two weeks ended August 28, 2021. Net sales for the fifty-two weeks ended August 27, 2022 were positively affected by the price increases effective in the first and fourth quarters of fiscal year 2022, and both the Atkins® and Quest® brands experienced sales and earnings growth driven by increased retail and e-commerce sales volume. However, unfavorable effects of higher raw material costs, freight, and logistics costs and supply chain challenges in the fifty-two weeks ended August 27, 2022 resulted in decreased gross profit margin as compared to the fifty-two weeks ended August 28, 2021. As previously discussed above in “Business Trends,” we expect these cost pressures and supply chain challenges to continue into fiscal year 2023.</w:t>
      </w:r>
    </w:p>
    <w:p>
      <w:pPr>
        <w:spacing w:after="0" w:line="216"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7" w:lineRule="exact"/>
        <w:rPr>
          <w:sz w:val="20"/>
          <w:szCs w:val="20"/>
          <w:color w:val="auto"/>
        </w:rPr>
      </w:pPr>
    </w:p>
    <w:p>
      <w:pPr>
        <w:jc w:val="both"/>
        <w:ind w:firstLine="187"/>
        <w:spacing w:after="0" w:line="261"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fifty-two weeks ended August 27, 2022 compared to the fifty-two weeks ended August 28, 2021 is presented below. A discussion regarding our financial condition and results of operations for the fifty-two weeks ended August 28, 2021 compared to the fifty-two weeks ended August 29, 2020 can be found under Item 7 of our Annual Report on Form 10-K for the fiscal year ended August 28, 2021, filed with the SEC on October 26,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Fifty-Two Weeks Ended August 27, 2022 and the Fifty-Two Weeks Ended August 28, 2021</w:t>
      </w:r>
    </w:p>
    <w:p>
      <w:pPr>
        <w:spacing w:after="0" w:line="256" w:lineRule="exact"/>
        <w:rPr>
          <w:sz w:val="20"/>
          <w:szCs w:val="20"/>
          <w:color w:val="auto"/>
        </w:rPr>
      </w:pPr>
    </w:p>
    <w:p>
      <w:pPr>
        <w:ind w:right="20" w:firstLine="184"/>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information from our consolidated financial results, including information presented as a percentage of net sales:</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of Net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of Net</w:t>
            </w:r>
          </w:p>
        </w:tc>
        <w:tc>
          <w:tcPr>
            <w:tcW w:w="0" w:type="dxa"/>
            <w:vAlign w:val="bottom"/>
          </w:tcPr>
          <w:p>
            <w:pPr>
              <w:spacing w:after="0"/>
              <w:rPr>
                <w:sz w:val="1"/>
                <w:szCs w:val="1"/>
                <w:color w:val="auto"/>
              </w:rPr>
            </w:pPr>
          </w:p>
        </w:tc>
      </w:tr>
      <w:tr>
        <w:trPr>
          <w:trHeight w:val="21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vMerge w:val="restart"/>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vMerge w:val="restart"/>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Sales</w:t>
            </w:r>
          </w:p>
        </w:tc>
        <w:tc>
          <w:tcPr>
            <w:tcW w:w="0" w:type="dxa"/>
            <w:vAlign w:val="bottom"/>
          </w:tcPr>
          <w:p>
            <w:pPr>
              <w:spacing w:after="0"/>
              <w:rPr>
                <w:sz w:val="1"/>
                <w:szCs w:val="1"/>
                <w:color w:val="auto"/>
              </w:rPr>
            </w:pPr>
          </w:p>
        </w:tc>
      </w:tr>
      <w:tr>
        <w:trPr>
          <w:trHeight w:val="84"/>
        </w:trPr>
        <w:tc>
          <w:tcPr>
            <w:tcW w:w="47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1,168,678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1,005,613</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723,117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595,847</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59.3 %</w:t>
            </w: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445,561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121,685</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112,928</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53"/>
        </w:trPr>
        <w:tc>
          <w:tcPr>
            <w:tcW w:w="4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40"/>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236,091</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202,759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173,675</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(31,557)</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(52,190)</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(92,815)</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60"/>
        </w:trPr>
        <w:tc>
          <w:tcPr>
            <w:tcW w:w="4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150,569</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80,860</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41,995</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39,980</w:t>
            </w:r>
          </w:p>
        </w:tc>
        <w:tc>
          <w:tcPr>
            <w:tcW w:w="14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CCEEFF"/>
            </w:tcBorders>
            <w:gridSpan w:val="2"/>
            <w:shd w:val="clear" w:color="auto" w:fill="CCEEFF"/>
          </w:tcPr>
          <w:p>
            <w:pPr>
              <w:ind w:left="180"/>
              <w:spacing w:after="0" w:line="23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234,043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207,273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00" w:hanging="330"/>
        <w:spacing w:after="0" w:line="232" w:lineRule="auto"/>
        <w:tabs>
          <w:tab w:leader="none" w:pos="489"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metric. See “Reconciliation of EBITDA and Adjusted EBITDA” below for a reconciliation of net income to EBITDA and Adjusted EBITDA for each applicable period.</w:t>
      </w:r>
    </w:p>
    <w:p>
      <w:pPr>
        <w:spacing w:after="0" w:line="215"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$1,168.7 million represented an increase of $163.1 million, or 16.2%, for the fifty-two weeks ended August 27,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fifty-two weeks ended August 28, 2021. The increase was primarily attributable to retail and e-commerce sales volume growth for both the Atkins® and Quest® brands, which increased our North America net sales by 18.1% in the fifty-two weeks ended August 27, 2022 compared to the fifty-two weeks ended August 28, 2021. Additionally, we instituted price increases effective in the first and fourth quarters of fiscal year 2022. The increase in net sales was partially offset by a 23.8% decline in our international business due to the decision to wind down our European business. The European exit represented a 1.2% headwind to total net sales growth.</w:t>
      </w:r>
    </w:p>
    <w:p>
      <w:pPr>
        <w:spacing w:after="0" w:line="209"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increased $127.3 million, or 21.4%, for the fifty-two weeks ended August 27, 2022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28, 2021. The cost of goods sold increase was driven by sales volume growth for both the Atkins® and Quest® brands, as discussed above. Additionally, our cost of goods sold for the fifty-two weeks ended August 27, 2022 was unfavorably affected by higher raw material, freight, and logistics costs and supply chain challenges. As previously discussed above in “Business Trends,” we expect these cost pressures and supply chain challenges to continue into fiscal year 2023.</w:t>
      </w:r>
    </w:p>
    <w:p>
      <w:pPr>
        <w:spacing w:after="0" w:line="206" w:lineRule="exact"/>
        <w:rPr>
          <w:sz w:val="20"/>
          <w:szCs w:val="20"/>
          <w:color w:val="auto"/>
        </w:rPr>
      </w:pPr>
    </w:p>
    <w:p>
      <w:pPr>
        <w:jc w:val="both"/>
        <w:ind w:firstLine="2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$35.8 million, or 8.7%, for the fifty-two weeks ended August 27, 2022 compared to the fifty-two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28, 2021, which was primarily driven by the sales volume growth for both the Quest® and Atkins® brands as discussed above. Gross profit of $445.6 million, or 38.1% of net sales, for the fifty-two weeks ended August 27, 2022 decreased 260 basis points from 40.7% of net sales for the fifty-two weeks ended August 28, 2021. The decrease in gross profit margin was primarily the result</w:t>
      </w:r>
    </w:p>
    <w:p>
      <w:pPr>
        <w:sectPr>
          <w:pgSz w:w="11900" w:h="16838" w:orient="portrait"/>
          <w:cols w:equalWidth="0" w:num="1">
            <w:col w:w="11240"/>
          </w:cols>
          <w:pgMar w:left="320" w:top="684"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of the unfavorable effects of higher raw material, freight, and logistics costs and supply chain challenges in the fifty-two weeks ended August 27, 2022 as previously discussed. The decrease in gross profit margin was partially offset by the favorable effects of the price increases which became effective in the first and fourth quarters of fiscal year 2022.</w:t>
      </w:r>
    </w:p>
    <w:p>
      <w:pPr>
        <w:spacing w:after="0" w:line="199" w:lineRule="exact"/>
        <w:rPr>
          <w:sz w:val="20"/>
          <w:szCs w:val="20"/>
          <w:color w:val="auto"/>
        </w:rPr>
      </w:pPr>
    </w:p>
    <w:p>
      <w:pPr>
        <w:jc w:val="both"/>
        <w:ind w:firstLine="24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increased $6.7 million, or 2.8%, for the fifty-two weeks ended August 27, 2022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28, 2021 due to the following:</w:t>
      </w:r>
    </w:p>
    <w:p>
      <w:pPr>
        <w:spacing w:after="0" w:line="184" w:lineRule="exact"/>
        <w:rPr>
          <w:sz w:val="20"/>
          <w:szCs w:val="20"/>
          <w:color w:val="auto"/>
        </w:rPr>
      </w:pPr>
    </w:p>
    <w:p>
      <w:pPr>
        <w:ind w:left="660" w:right="2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increased $8.8 million, or 7.8%, for the fifty-two weeks ended August 27,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fifty-two weeks ended August 28, 2021, primarily related to additional brand building initiatives for both Atkins® and Quest®.</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$2.3 million, or 2.2%, for the fifty-two weeks ended August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fifty-two weeks ended August 28, 2021. The decrease was primarily attributable to reductions in costs related to business integration activities of $2.5 million, restructuring charges of $4.2 million, and incentive compensation in the fifty-two weeks ended August 27, 2022 compared to the fifty-two weeks ended August 28, 2021. These decreases were partially offset by an increase in stock-based compensation of $3.4 million and increased corporate expenses in the fifty-two weeks ended August 27, 2022 compared to the fifty-two weeks ended August 28, 2021.</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$0.3 million, or 1.8%, for the fifty-two weeks ended August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fifty-two weeks ended August 28, 2021, primarily due to increased depreciation expense related to the $5.2 million of purchases of property and equipment during the fifty-two weeks ended August 27, 2022.</w:t>
      </w:r>
    </w:p>
    <w:p>
      <w:pPr>
        <w:spacing w:after="0" w:line="209" w:lineRule="exact"/>
        <w:rPr>
          <w:sz w:val="20"/>
          <w:szCs w:val="20"/>
          <w:color w:val="auto"/>
        </w:rPr>
      </w:pPr>
    </w:p>
    <w:p>
      <w:pPr>
        <w:jc w:val="both"/>
        <w:ind w:right="20" w:firstLine="23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immaterial for the fifty-two weeks ended August 27, 2022 compared to interest income of $0.1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fifty-two weeks ended August 28, 2021.</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$9.7 million for the fifty-two weeks ended August 27, 2022 compared to the fifty-two weeks ended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2021 primarily due to principal payments reducing the outstanding balance of the Term Facility (as defined below) to $406.5 million as of August 27, 2022 from $456.5 million as of August 28, 2021. Additionally, interest expense related to the amortization of deferred financing costs and debt discount decreased $2.1 million for the fifty-two weeks ended August 27, 2022 compared to the fifty-two weeks ended August 28, 2021.</w:t>
      </w:r>
    </w:p>
    <w:p>
      <w:pPr>
        <w:spacing w:after="0" w:line="190" w:lineRule="exact"/>
        <w:rPr>
          <w:sz w:val="20"/>
          <w:szCs w:val="20"/>
          <w:color w:val="auto"/>
        </w:rPr>
      </w:pPr>
    </w:p>
    <w:p>
      <w:pPr>
        <w:jc w:val="both"/>
        <w:ind w:firstLine="193"/>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Loss in fair value change of warrant liability</w:t>
      </w:r>
      <w:r>
        <w:rPr>
          <w:rFonts w:ascii="Times New Roman" w:cs="Times New Roman" w:eastAsia="Times New Roman" w:hAnsi="Times New Roman"/>
          <w:sz w:val="18"/>
          <w:szCs w:val="18"/>
          <w:color w:val="auto"/>
        </w:rPr>
        <w:t>. During the fifty-two weeks ended August 27, 2022 and August 28, 2021, we recorded a non-cash loss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$30.1 million and $66.2 million, respectively, related to changes in valuation of our liability-classified warrants issued through a private placement (“Private Warrants”), which was primarily driven by movements in our stock price. On January 7, 2022, the Private Warrants were fully exercised on a cashless basis, resulting in a net issuance of 4,830,761 shares of our common stock. As a result, there were no outstanding liability-classified Private Warrants as of August 27, 2022.</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Gain on legal settlement. </w:t>
      </w:r>
      <w:r>
        <w:rPr>
          <w:rFonts w:ascii="Times New Roman" w:cs="Times New Roman" w:eastAsia="Times New Roman" w:hAnsi="Times New Roman"/>
          <w:sz w:val="18"/>
          <w:szCs w:val="18"/>
          <w:color w:val="auto"/>
        </w:rPr>
        <w:t>We recorded a $5.0 million gain on a legal settlement during the fifty-two weeks ended August 28, 2021.</w:t>
      </w:r>
    </w:p>
    <w:p>
      <w:pPr>
        <w:spacing w:after="0" w:line="239" w:lineRule="exact"/>
        <w:rPr>
          <w:sz w:val="20"/>
          <w:szCs w:val="20"/>
          <w:color w:val="auto"/>
        </w:rPr>
      </w:pPr>
    </w:p>
    <w:p>
      <w:pPr>
        <w:jc w:val="both"/>
        <w:ind w:firstLine="247"/>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$0.2 million gain and an immaterial loss for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27, 2022 and August 28, 2021, respectively. During the fifty-two weeks ended August 27, 2022, we recognized a foreign currency translation gain of $1.1 million related to the liquidation of a foreign subsidiary. The remaining variance is attributable to changes in foreign currency rates related to our international operations.</w:t>
      </w:r>
    </w:p>
    <w:p>
      <w:pPr>
        <w:spacing w:after="0" w:line="222"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$2.0 million for the fifty-two weeks ended August 27, 2022 compared to the fifty-two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28, 2021. The increase in our income tax expense is primarily driven by higher income from operations.</w:t>
      </w:r>
    </w:p>
    <w:p>
      <w:pPr>
        <w:spacing w:after="0" w:line="182" w:lineRule="exact"/>
        <w:rPr>
          <w:sz w:val="20"/>
          <w:szCs w:val="20"/>
          <w:color w:val="auto"/>
        </w:rPr>
      </w:pPr>
    </w:p>
    <w:p>
      <w:pPr>
        <w:jc w:val="both"/>
        <w:ind w:firstLine="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was $108.6 million for the fifty-two weeks ended August 27, 2022, an increase of $67.7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$40.9 million for the fifty-two weeks ended August 28, 2021. The increase in net income was primarily related to the $29.1 million increase in income from operations driven by the Atkins® and Quest® brand sales volume growth as discussed above, the $36.1 million decrease in the non-cash loss in fair value change of our Private Warrant liability, and the $9.7 million decrease in interest expense in the fifty-two weeks ended August 27, 2022 compared to the fifty-two weeks ended August 28, 2021. These increases were partially offset by the $2.0 million increase in income tax expense in the fifty-two weeks ended August 27, 2022 compared to the fifty-two weeks ended August 28, 2021 as well as the non-recurring $5.0 million gain on a legal settlement in the fifty-two weeks ended August 28, 2021.</w:t>
      </w:r>
    </w:p>
    <w:p>
      <w:pPr>
        <w:spacing w:after="0" w:line="210" w:lineRule="exact"/>
        <w:rPr>
          <w:sz w:val="20"/>
          <w:szCs w:val="20"/>
          <w:color w:val="auto"/>
        </w:rPr>
      </w:pPr>
    </w:p>
    <w:p>
      <w:pPr>
        <w:jc w:val="both"/>
        <w:ind w:firstLine="2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$26.8 million, or 12.9%, for the fifty-two weeks ended August 27, 2022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28, 2021, driven primarily by sales volume growth for the Atkins® and Quest® brands, which was partially offset by the unfavorable effects of higher raw material, freight, and logistics costs and supply chain challenges in the fifty-two weeks ended August 27, 2022 as discussed above. For a reconciliation of Adjusted EBITDA to its most directly comparable GAAP measure, see “Reconciliation of EBITDA and Adjusted EBITDA” below.</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integration costs, restructuring costs, gain or loss in fair value change of warrant liability, gain or loss due to legal settlements,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fifty-two weeks ended August 27, 2022 and August 28, 2021:</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r>
      <w:tr>
        <w:trPr>
          <w:trHeight w:val="26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7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31,557</w:t>
            </w:r>
          </w:p>
        </w:tc>
      </w:tr>
      <w:tr>
        <w:trPr>
          <w:trHeight w:val="26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39,980</w:t>
            </w:r>
          </w:p>
        </w:tc>
      </w:tr>
      <w:tr>
        <w:trPr>
          <w:trHeight w:val="27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r>
      <w:tr>
        <w:trPr>
          <w:trHeight w:val="25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130,507</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r>
      <w:tr>
        <w:trPr>
          <w:trHeight w:val="267"/>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of Quest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r>
      <w:tr>
        <w:trPr>
          <w:trHeight w:val="267"/>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66,197</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70"/>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234,043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207,273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1580" w:hanging="150"/>
        <w:spacing w:after="0"/>
        <w:tabs>
          <w:tab w:leader="none" w:pos="15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ind w:right="20" w:firstLine="196"/>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203" w:lineRule="exact"/>
        <w:rPr>
          <w:sz w:val="20"/>
          <w:szCs w:val="20"/>
          <w:color w:val="auto"/>
        </w:rPr>
      </w:pPr>
    </w:p>
    <w:p>
      <w:pPr>
        <w:jc w:val="both"/>
        <w:ind w:firstLine="290"/>
        <w:spacing w:after="0" w:line="261" w:lineRule="auto"/>
        <w:rPr>
          <w:sz w:val="20"/>
          <w:szCs w:val="20"/>
          <w:color w:val="auto"/>
        </w:rPr>
      </w:pPr>
      <w:r>
        <w:rPr>
          <w:rFonts w:ascii="Times New Roman" w:cs="Times New Roman" w:eastAsia="Times New Roman" w:hAnsi="Times New Roman"/>
          <w:sz w:val="18"/>
          <w:szCs w:val="18"/>
          <w:color w:val="auto"/>
        </w:rPr>
        <w:t>We had $67.5 million in cash as of August 27, 2022.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7, Long-Term Debt and Line of Credit, and Note 10, Leases, of the Consolidated Financial Statements included in Item 8 of this Report for additional information related to the expected timing and amount of payments related to our contractual and other obligations.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203" w:lineRule="exact"/>
        <w:rPr>
          <w:sz w:val="20"/>
          <w:szCs w:val="20"/>
          <w:color w:val="auto"/>
        </w:rPr>
      </w:pPr>
    </w:p>
    <w:p>
      <w:pPr>
        <w:jc w:val="both"/>
        <w:ind w:firstLine="295"/>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17" w:lineRule="exact"/>
        <w:rPr>
          <w:sz w:val="20"/>
          <w:szCs w:val="20"/>
          <w:color w:val="auto"/>
        </w:rPr>
      </w:pPr>
    </w:p>
    <w:p>
      <w:pPr>
        <w:jc w:val="both"/>
        <w:ind w:left="660" w:hanging="328"/>
        <w:spacing w:after="0" w:line="266"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27, 2022 and August 28, 2021, respectively.</w:t>
      </w:r>
    </w:p>
    <w:p>
      <w:pPr>
        <w:spacing w:after="0" w:line="216"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As of August 27, 2022, the outstanding balance of the Term Facility was $406.5 million. We are not required to make principal payments on the Term Facility over the twelve months following the period ended August 27, 2022. The outstanding balance of the Term Facility is due upon its maturity in July 2024. As of August 27, 2022, there were no amounts drawn against the Revolving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8"/>
          <w:szCs w:val="18"/>
          <w:color w:val="auto"/>
        </w:rPr>
        <w:t>On April 13, 2022, we announced that our Board of Directors had approved the addition of $50.0 million to our stock repurchase program, resulting in authorized stock repurchases of up to an aggregate of $100.0 million. During the fifty-two weeks ended August 27, 2022, we repurchased 1,720,520 shares of common stock for $59.9 million, averaging a purchase price per share of $34.79. We did not repurchase any shares of common stock during the fifty-two weeks ended August 28, 2021 and August 29, 2020.</w:t>
      </w:r>
    </w:p>
    <w:p>
      <w:pPr>
        <w:spacing w:after="0" w:line="207"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As of August 27, 2022, approximately $38.0 million remained available for repurchases under our $100.0 million stock repurchase program. Refer to Note 12, Stockholders’ Equity of the Consolidated Financial Statements included in Item 8 of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183"/>
        <w:spacing w:after="0" w:line="256" w:lineRule="auto"/>
        <w:rPr>
          <w:sz w:val="20"/>
          <w:szCs w:val="20"/>
          <w:color w:val="auto"/>
        </w:rPr>
      </w:pPr>
      <w:r>
        <w:rPr>
          <w:rFonts w:ascii="Times New Roman" w:cs="Times New Roman" w:eastAsia="Times New Roman" w:hAnsi="Times New Roman"/>
          <w:sz w:val="18"/>
          <w:szCs w:val="18"/>
          <w:color w:val="auto"/>
        </w:rPr>
        <w:t>As of August 28, 2021, we had outstanding liability-classified Private Warrants that allowed holders to purchase 6,700,000 shares of our common stock. Such Private Warrants were held by Conyers Park Sponsor, LLC (“Conyers Park”), a related party. Each whole warrant entitled the holder to purchase one share of our common stock at a price of $11.50 per share. On January 7, 2022, Conyers Park elected to exercise the Private Warrants in full on a cashless basis, resulting in a net issuance of 4,830,761 shares of the Company’s common stock. As a result, there were no outstanding liability-classified Private Warrants as of August 27, 2022. Refer to Note 12, Stockholders’ Equity of the Consolidated Financial Statements included in Item 8 of this Report for additional details regarding the Private Warrants.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Equity Offering</w:t>
      </w:r>
    </w:p>
    <w:p>
      <w:pPr>
        <w:spacing w:after="0" w:line="256" w:lineRule="exact"/>
        <w:rPr>
          <w:sz w:val="20"/>
          <w:szCs w:val="20"/>
          <w:color w:val="auto"/>
        </w:rPr>
      </w:pPr>
    </w:p>
    <w:p>
      <w:pPr>
        <w:jc w:val="both"/>
        <w:ind w:firstLine="241"/>
        <w:spacing w:after="0" w:line="261" w:lineRule="auto"/>
        <w:rPr>
          <w:sz w:val="20"/>
          <w:szCs w:val="20"/>
          <w:color w:val="auto"/>
        </w:rPr>
      </w:pPr>
      <w:r>
        <w:rPr>
          <w:rFonts w:ascii="Times New Roman" w:cs="Times New Roman" w:eastAsia="Times New Roman" w:hAnsi="Times New Roman"/>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Quest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 Acquisition</w:t>
      </w:r>
    </w:p>
    <w:p>
      <w:pPr>
        <w:spacing w:after="0" w:line="256" w:lineRule="exact"/>
        <w:rPr>
          <w:sz w:val="20"/>
          <w:szCs w:val="20"/>
          <w:color w:val="auto"/>
        </w:rPr>
      </w:pPr>
    </w:p>
    <w:p>
      <w:pPr>
        <w:jc w:val="both"/>
        <w:ind w:firstLine="211"/>
        <w:spacing w:after="0" w:line="258" w:lineRule="auto"/>
        <w:rPr>
          <w:sz w:val="20"/>
          <w:szCs w:val="20"/>
          <w:color w:val="auto"/>
        </w:rPr>
      </w:pPr>
      <w:r>
        <w:rPr>
          <w:rFonts w:ascii="Times New Roman" w:cs="Times New Roman" w:eastAsia="Times New Roman" w:hAnsi="Times New Roman"/>
          <w:sz w:val="18"/>
          <w:szCs w:val="18"/>
          <w:color w:val="auto"/>
        </w:rPr>
        <w:t>On August 21, 2019, our wholly-owned subsidiary Simply Good Foods USA, Inc., formerly known as Atkins Nutritionals, Inc. (“Simply Good USA”) entered into a Stock and Unit Purchase Agreement (the “Purchase Agreement”) with VMG Voyage Holdings, LLC, VMG Tax-Exempt II, L.P., Voyage Employee Holdings, LLC, and other sellers, as defined in the Purchase Agreement, to Quest, a healthy lifestyle food company. On November 7, 2019, pursuant to the Purchase Agreement, Simply Good USA completed the Quest Acquisition, for a cash purchase price of approximately $1.0 billion, subject to customary post-closing adjustments.</w:t>
      </w:r>
    </w:p>
    <w:p>
      <w:pPr>
        <w:spacing w:after="0" w:line="210" w:lineRule="exact"/>
        <w:rPr>
          <w:sz w:val="20"/>
          <w:szCs w:val="20"/>
          <w:color w:val="auto"/>
        </w:rPr>
      </w:pPr>
    </w:p>
    <w:p>
      <w:pPr>
        <w:jc w:val="both"/>
        <w:ind w:firstLine="222"/>
        <w:spacing w:after="0" w:line="255" w:lineRule="auto"/>
        <w:rPr>
          <w:sz w:val="20"/>
          <w:szCs w:val="20"/>
          <w:color w:val="auto"/>
        </w:rPr>
      </w:pPr>
      <w:r>
        <w:rPr>
          <w:rFonts w:ascii="Times New Roman" w:cs="Times New Roman" w:eastAsia="Times New Roman" w:hAnsi="Times New Roman"/>
          <w:sz w:val="18"/>
          <w:szCs w:val="18"/>
          <w:color w:val="auto"/>
        </w:rPr>
        <w:t xml:space="preserve">The Quest Acquisition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we received a post-closing release from escrow of approximately $2.1 million related to net working capital adjustments, resulting in a total net consideration paid of $986.8 million. </w:t>
      </w:r>
      <w:r>
        <w:rPr>
          <w:rFonts w:ascii="Times New Roman" w:cs="Times New Roman" w:eastAsia="Times New Roman" w:hAnsi="Times New Roman"/>
          <w:sz w:val="18"/>
          <w:szCs w:val="18"/>
          <w:i w:val="1"/>
          <w:iCs w:val="1"/>
          <w:color w:val="auto"/>
        </w:rPr>
        <w:t>Business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color w:val="auto"/>
        </w:rPr>
        <w:t>within the Consolidated Statements of Income and Comprehensive Income for the fifty-two weeks ended August 29, 2020 was $27.1 million,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$14.5 million of transaction advisory fees related to the Quest Acquisition, $3.2 million of banker commitment fees, $6.1 million of non-deferrable debt issuance costs related to the incremental term loan, and $3.3 million of other costs, including legal, due diligence, and accounting fees.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major sources and uses of cash for the fifty-two weeks ended August 27, 2022 and August 28, 2021. A discussion regarding the major sources and uses of cash for the fifty-two weeks ended August 29, 2020 can be found under Item 7 of our Annual Report on Form 10-K for the fiscal year ended August 28, 2021, filed with the SEC on October 26, 2021.</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132,089</w:t>
            </w:r>
          </w:p>
        </w:tc>
      </w:tr>
      <w:tr>
        <w:trPr>
          <w:trHeight w:val="26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r>
      <w:tr>
        <w:trPr>
          <w:trHeight w:val="27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(150,049)</w:t>
            </w:r>
          </w:p>
        </w:tc>
      </w:tr>
    </w:tbl>
    <w:p>
      <w:pPr>
        <w:spacing w:after="0" w:line="200"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6" w:name="page47"/>
    <w:bookmarkEnd w:id="46"/>
    <w:p>
      <w:pPr>
        <w:jc w:val="both"/>
        <w:ind w:firstLine="20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$21.5 million to $110.6 million for the fifty-two weeks ended August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$132.1 million for the fifty-two weeks ended August 28, 2021. The decrease in cash provided by operating activities was primarily attributable to changes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consumed cash of $63.8 million in the fifty-two weeks ended August 27, 2022 compared to $21.5 million of cash consumed in the fifty-two weeks ended August 28, 2021. Additionally, cash paid for taxes increased $17.0 million to $49.2 million for the fifty-two weeks ended August 27, 2022 as compared to $32.2 million for the fifty-two weeks ended August 28, 2021. These decreases in cash provided by operating activities were partially offset by the $29.1 million increase in income from operations to $202.8 million for the fifty-two weeks ended August 27, 2022 as compared to $173.7 million for the fifty-two weeks ended August 28, 2021, primarily attributable to retail and e-commerce sales volume growth for both the Atkins® and Quest® brands as discussed in “Results of Operations” above. Additionally, cash paid for interest was $19.2 million in the fifty-two weeks ended August 27, 2022, which was a decrease of $8.6 million as compared to the $27.8 million paid for interest in the fifty-two weeks ended August 28, 2021.</w:t>
      </w:r>
    </w:p>
    <w:p>
      <w:pPr>
        <w:spacing w:after="0" w:line="219" w:lineRule="exact"/>
        <w:rPr>
          <w:sz w:val="20"/>
          <w:szCs w:val="20"/>
          <w:color w:val="auto"/>
        </w:rPr>
      </w:pPr>
    </w:p>
    <w:p>
      <w:pPr>
        <w:jc w:val="both"/>
        <w:ind w:firstLine="20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used in investing activities was $8.2 million for the fifty-two weeks ended August 27, 2022 compared to $2.5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fifty-two weeks ended August 28, 2021. Our net cash used in investing activities for the fifty-two weeks ended August 27, 2022 primarily comprised $5.2 million of purchases of property and equipment and the issuance of a $2.4 million note receivable. The $2.5 million of net cash used in investing activities for the fifty-two weeks ended August 28, 2021 primarily comprised the $5.9 million purchases of property and equipment and the issuance of a $1.6 million note receivable, partially offset by the $5.8 million of cash proceeds received from the SimplyProtein Sale.</w:t>
      </w:r>
    </w:p>
    <w:p>
      <w:pPr>
        <w:spacing w:after="0" w:line="210"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used in financing activities was $110.0 million for the fifty-two weeks ended August 27, 2022 compared to $150.0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fifty-two weeks ended August 28, 2021. Net cash used in financing activities for the fifty-two weeks ended August 27, 2022 primarily consisted of $50.0 million in principal payments on the Term Facility and $59.9 million in repurchases in common stock. Net cash used in financing activities for the fifty-two weeks ended August 28, 2021 primarily consisted of $150.0 million in principal payments on the Term Facility.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196"/>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U.S.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a contract with its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207"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makes revisions as necessary. Uncertainties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related to the estimate of variable consideration are resolved in a short time frame and do not require any additional constraint on variable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variable consideration have historically been insignificant.</w:t>
      </w:r>
    </w:p>
    <w:p>
      <w:pPr>
        <w:spacing w:after="0" w:line="234" w:lineRule="exact"/>
        <w:rPr>
          <w:sz w:val="20"/>
          <w:szCs w:val="20"/>
          <w:color w:val="auto"/>
        </w:rPr>
      </w:pPr>
    </w:p>
    <w:p>
      <w:pPr>
        <w:jc w:val="both"/>
        <w:ind w:firstLine="264"/>
        <w:spacing w:after="0" w:line="282" w:lineRule="auto"/>
        <w:rPr>
          <w:sz w:val="20"/>
          <w:szCs w:val="20"/>
          <w:color w:val="auto"/>
        </w:rPr>
      </w:pPr>
      <w:r>
        <w:rPr>
          <w:rFonts w:ascii="Times New Roman" w:cs="Times New Roman" w:eastAsia="Times New Roman" w:hAnsi="Times New Roman"/>
          <w:sz w:val="18"/>
          <w:szCs w:val="18"/>
          <w:color w:val="auto"/>
        </w:rPr>
        <w:t>Although some payment terms may be longer, the majority of our payment terms are less than 60 days. As a result, we do not have any material significant payments terms as payment is received shortly after the time of sale.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 key accounting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Promotions</w:t>
      </w:r>
    </w:p>
    <w:p>
      <w:pPr>
        <w:spacing w:after="0" w:line="256" w:lineRule="exact"/>
        <w:rPr>
          <w:sz w:val="20"/>
          <w:szCs w:val="20"/>
          <w:color w:val="auto"/>
        </w:rPr>
      </w:pPr>
    </w:p>
    <w:p>
      <w:pPr>
        <w:jc w:val="both"/>
        <w:ind w:firstLine="277"/>
        <w:spacing w:after="0" w:line="256" w:lineRule="auto"/>
        <w:rPr>
          <w:sz w:val="20"/>
          <w:szCs w:val="20"/>
          <w:color w:val="auto"/>
        </w:rPr>
      </w:pPr>
      <w:r>
        <w:rPr>
          <w:rFonts w:ascii="Times New Roman" w:cs="Times New Roman" w:eastAsia="Times New Roman" w:hAnsi="Times New Roman"/>
          <w:sz w:val="18"/>
          <w:szCs w:val="18"/>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performance of similar trade promotional activities, market data from IRI, and the Company’s best estimates of current activity. Our consolidated financial statements could be materially affected if the actual promotion rates are different from the estimated rates.</w:t>
      </w:r>
    </w:p>
    <w:p>
      <w:pPr>
        <w:spacing w:after="0" w:line="214"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As of August 27, 2022 and August 28, 2021, the allowance for trade promotions was $23.9 million and $22.3 million, respectively. Differences between estimated expense and actual redemptions are recognized as a change in management estimate in a subsequent period. These differences have historically been insignificant.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ind w:firstLine="211"/>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comprising our brands and trademarks, are not amortized, but instead are tested for impairment at least annually, or more frequently if indicators of impairment exist. We conduct our annual impairment tests at the beginning of the fourth fiscal quarter. We perform our goodwill impairment assessment for each reporting unit that has goodwill. The process of evaluating goodwill and indefinite-lived intangibles for impairment is subjective and requires significant judgment at many points during the analysis.</w:t>
      </w:r>
    </w:p>
    <w:p>
      <w:pPr>
        <w:spacing w:after="0" w:line="207"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During the fifty-two weeks ended August 27, 2022, we substantially completed our efforts to fully integrate our operations and organization structure after the Quest Acquisition. We aligned the nature of our production processes and the methods used to distribute products to customers for the Atkins® and Quest® brands. We also designed our organizational structure to support entity-wide business functions across brands, products, customers, and geographic regions. Additionally, our chief operating decision maker reviews operating results and forecasts at the consolidated level. As a result, we determined our operations are organized into one, consolidated operating segment and reporting unit. Previously, during the fifty-two weeks ended August 28, 2021 and August 29, 2020, we had two reporting units which were our operating segments, Atkins and Quest.</w:t>
      </w:r>
    </w:p>
    <w:p>
      <w:pPr>
        <w:spacing w:after="0" w:line="214" w:lineRule="exact"/>
        <w:rPr>
          <w:sz w:val="20"/>
          <w:szCs w:val="20"/>
          <w:color w:val="auto"/>
        </w:rPr>
      </w:pPr>
    </w:p>
    <w:p>
      <w:pPr>
        <w:jc w:val="both"/>
        <w:ind w:firstLine="213"/>
        <w:spacing w:after="0" w:line="253" w:lineRule="auto"/>
        <w:rPr>
          <w:sz w:val="20"/>
          <w:szCs w:val="20"/>
          <w:color w:val="auto"/>
        </w:rPr>
      </w:pPr>
      <w:r>
        <w:rPr>
          <w:rFonts w:ascii="Times New Roman" w:cs="Times New Roman" w:eastAsia="Times New Roman" w:hAnsi="Times New Roman"/>
          <w:sz w:val="18"/>
          <w:szCs w:val="18"/>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Impairment is indicated if the estimated fair value of the reporting unit or indefinite-lived intangible asset is less than the carrying amount, and an impairment charge is recognized for the differential.</w:t>
      </w:r>
    </w:p>
    <w:p>
      <w:pPr>
        <w:spacing w:after="0" w:line="221" w:lineRule="exact"/>
        <w:rPr>
          <w:sz w:val="20"/>
          <w:szCs w:val="20"/>
          <w:color w:val="auto"/>
        </w:rPr>
      </w:pPr>
    </w:p>
    <w:p>
      <w:pPr>
        <w:jc w:val="both"/>
        <w:ind w:firstLine="206"/>
        <w:spacing w:after="0" w:line="258" w:lineRule="auto"/>
        <w:rPr>
          <w:sz w:val="20"/>
          <w:szCs w:val="20"/>
          <w:color w:val="auto"/>
        </w:rPr>
      </w:pPr>
      <w:r>
        <w:rPr>
          <w:rFonts w:ascii="Times New Roman" w:cs="Times New Roman" w:eastAsia="Times New Roman" w:hAnsi="Times New Roman"/>
          <w:sz w:val="18"/>
          <w:szCs w:val="18"/>
          <w:color w:val="auto"/>
        </w:rPr>
        <w:t>For fiscal year 2022 and 2021, we performed qualitative assessments of goodwill and indefinite-lived intangible assets. The qualitative assessments did not identify indicators of impairment, and it was determined that it was more likely than not each reporting unit and indefinite-lived intangible had fair values in excess of their carrying values. Accordingly, no further impairment assessment was necessary, and no impairment charges related to goodwill or indefinite-lived intangibles were recognized in the fifty-two weeks ended August 27, 2022 or August 28, 2021. Additionally, we determined there was not a material risk for future possible impairments as of the date of the most recent assessment.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271"/>
        <w:spacing w:after="0" w:line="258" w:lineRule="auto"/>
        <w:rPr>
          <w:sz w:val="20"/>
          <w:szCs w:val="20"/>
          <w:color w:val="auto"/>
        </w:rPr>
      </w:pPr>
      <w:r>
        <w:rPr>
          <w:rFonts w:ascii="Times New Roman" w:cs="Times New Roman" w:eastAsia="Times New Roman" w:hAnsi="Times New Roman"/>
          <w:sz w:val="18"/>
          <w:szCs w:val="18"/>
          <w:color w:val="auto"/>
        </w:rPr>
        <w:t>For fiscal year 2020, we elected to bypass the qualitative assessment and proceed directly to performing the first step of the quantitative goodwill impairment assessment for each reporting unit. We performed the first step of the quantitative goodwill impairment assessment by comparing the fair value of each of our reporting units, Atkins and Quest, to its carrying amount, including goodwill. The estimated fair values of the Atkins and Quest reporting units substantially exceeded their carrying values. We determined neither reporting unit was impaired, therefore, no impairment charges related to goodwill were recorded in the fifty-two weeks ended August 29, 2020.</w:t>
      </w:r>
    </w:p>
    <w:p>
      <w:pPr>
        <w:spacing w:after="0" w:line="210" w:lineRule="exact"/>
        <w:rPr>
          <w:sz w:val="20"/>
          <w:szCs w:val="20"/>
          <w:color w:val="auto"/>
        </w:rPr>
      </w:pPr>
    </w:p>
    <w:p>
      <w:pPr>
        <w:jc w:val="both"/>
        <w:ind w:firstLine="278"/>
        <w:spacing w:after="0" w:line="254" w:lineRule="auto"/>
        <w:rPr>
          <w:sz w:val="20"/>
          <w:szCs w:val="20"/>
          <w:color w:val="auto"/>
        </w:rPr>
      </w:pPr>
      <w:r>
        <w:rPr>
          <w:rFonts w:ascii="Times New Roman" w:cs="Times New Roman" w:eastAsia="Times New Roman" w:hAnsi="Times New Roman"/>
          <w:sz w:val="18"/>
          <w:szCs w:val="18"/>
          <w:color w:val="auto"/>
        </w:rPr>
        <w:t>Additionally, for fiscal year 2020, we elected to qualitatively assess for impairment the indefinite-lived intangible related to our Quest brand and trademark. The qualitative assessment indicated that it was more likely than not that the Quest brand and trademark indefinite-lived intangible’s fair value exceeded its carrying amount, and as a result we did not perform a quantitative assessment. For our indefinite-lived brand and trademark intangible related to our Atkins brand, we elected to bypass the qualitative assessment and proceed directly to performing the quantitative impairment assessment. The estimated fair value of the Atkins brand and trademark indefinite-lived intangible substantially exceeded its carrying value. During the fourth quarter of fiscal 2020, we determined there were indicators of impairment related to the SimplyProtein brand intangible asset, including but not limited to an offer to sell the SimplyProtein brand. Therefore, we performed a quantitative assessment of our brand intangible asset, which indicated the fair value did not exceed the carrying value, resulting in a loss on impairment of $3.0 million in the fifty-two weeks ended August 29, 2020.</w:t>
      </w:r>
    </w:p>
    <w:p>
      <w:pPr>
        <w:spacing w:after="0" w:line="21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 circumstances indicated that the carrying amount may not be recoverable. For the fifty-two weeks ended August 27, 2022, August 28, 2021 and August 29, 2020, we did not identify indicators of impairment related to our finite-lived intangible assets, and as such there were no impairments recorded related to finite-lived intangible assets. We also determined that there was no material risk for future possible intangible impairments related to our finite-lived intangible assets as of the date of the most recent assessments.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204"/>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89" w:lineRule="exact"/>
        <w:rPr>
          <w:sz w:val="20"/>
          <w:szCs w:val="20"/>
          <w:color w:val="auto"/>
        </w:rPr>
      </w:pPr>
    </w:p>
    <w:p>
      <w:pPr>
        <w:jc w:val="both"/>
        <w:ind w:firstLine="281"/>
        <w:spacing w:after="0" w:line="256"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August 28, 2021, we had outstanding Private Warrants that allowed holders to purchase 6,700,000 shares of our common stock. Such Private Warrants were held by Conyers Park, a related party. Each whole warrant entitled the holder to purchase one share of our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Private Warrants as of August 27, 2022.</w:t>
      </w:r>
    </w:p>
    <w:p>
      <w:pPr>
        <w:spacing w:after="0" w:line="210"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During the reporting periods the Private Warrants were outstanding, we accounted for our Private Warrants as a derivative warrant liability in accordance with ASC Topic 815-40, Derivatives and Hedging: Contracts in Entity’s Own Equity. Accordingly, we recognized the Private Warrants as a liability at fair value and adjusted the Private Warrants to fair value at each reporting period through other income. We utilized the Black-Scholes option-pricing valuation model (“Black-Scholes model”) to estimate the fair value of the Private Warrants at each reporting date.</w:t>
      </w:r>
    </w:p>
    <w:p>
      <w:pPr>
        <w:spacing w:after="0" w:line="207" w:lineRule="exact"/>
        <w:rPr>
          <w:sz w:val="20"/>
          <w:szCs w:val="20"/>
          <w:color w:val="auto"/>
        </w:rPr>
      </w:pPr>
    </w:p>
    <w:p>
      <w:pPr>
        <w:jc w:val="both"/>
        <w:ind w:firstLine="333"/>
        <w:spacing w:after="0" w:line="254" w:lineRule="auto"/>
        <w:rPr>
          <w:sz w:val="20"/>
          <w:szCs w:val="20"/>
          <w:color w:val="auto"/>
        </w:rPr>
      </w:pPr>
      <w:r>
        <w:rPr>
          <w:rFonts w:ascii="Times New Roman" w:cs="Times New Roman" w:eastAsia="Times New Roman" w:hAnsi="Times New Roman"/>
          <w:sz w:val="18"/>
          <w:szCs w:val="18"/>
          <w:color w:val="auto"/>
        </w:rPr>
        <w:t>The application of the Black-Scholes model utilizes significant assumptions, including expected volatility, the determination of which requires significant judgment. In order to determine the most accurate measure of this volatility, we measured expected volatility based on several inputs, including considering a peer group of publicly traded companies, Simply Good Foods’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 The expected volatility was historically a key assumption or input to the valuation of the Private Warrants, however changes in the expected volatility assumption had less of an effect on the Black-Scholes model valuation as the Private Warrants approached their expiration.</w:t>
      </w:r>
    </w:p>
    <w:p>
      <w:pPr>
        <w:sectPr>
          <w:pgSz w:w="11900" w:h="16838" w:orient="portrait"/>
          <w:cols w:equalWidth="0" w:num="1">
            <w:col w:w="11240"/>
          </w:cols>
          <w:pgMar w:left="320" w:top="688"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ind w:firstLine="184"/>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Consolidated Financial Statements included in Item 8 of this Report for information regarding recently issued accounting standards.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firstLine="203"/>
        <w:spacing w:after="0" w:line="282"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85"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costs and inflation. </w:t>
      </w:r>
      <w:r>
        <w:rPr>
          <w:rFonts w:ascii="Times New Roman" w:cs="Times New Roman" w:eastAsia="Times New Roman" w:hAnsi="Times New Roman"/>
          <w:sz w:val="18"/>
          <w:szCs w:val="18"/>
          <w:color w:val="auto"/>
        </w:rPr>
        <w:t>We are exposed to risks associated with changes in the costs of our raw materials as well as changes to our supply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costs. During the fifty-two weeks ended August 27, 2022, our gross margins and profitability were negatively affected by higher raw material costs, higher freight and logistics costs, and supply chain challenges, including supply chain disruptions resulting from labor shortages as well as disruptions in ingredients, caused, in part, by the COVID-19 pandemic, the uncertain economic environment, and macroeconomic and geopolitical events and trends. We expect these cost pressures and supply chain challenges to continue into fiscal year 2023. In addition, current or future governmental policies may increase the risk of inflation, which could further increase the costs of ingredients, packaging and finished goods for our business. As a result, we have instituted price increases effective in the first and fourth quarters of fiscal year 2022. Management believes these price increases and additional cost savings initiatives will enable us to continue to invest in projects that drive growth. However, there can be no assurance that the price increases will fully offset the effects of higher raw material and supply and distribution costs on our results of operations and financial condition. Refer to Item 1A, Risk Factors, for additional discussion of our risks associated with the costs of our raw materials, our supply chain, and our risks associated with pandemics, epidemics or disease outbreaks, such as COVID-19.</w:t>
      </w:r>
    </w:p>
    <w:p>
      <w:pPr>
        <w:spacing w:after="0" w:line="209"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interest rate risk in connection with borrowing based on a variable interest rate. Derivative financial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interest rate swap agreements and interest rate cap agreements,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 of August 27, 2022, the outstanding balance of the Term Facility was $406.5 million. Based on the amount outstanding of the Term Facility at the end of fiscal year 2022, a 1% increase in interest rates would increase our annual interest expense by approximately $4.1 million.</w:t>
      </w:r>
    </w:p>
    <w:p>
      <w:pPr>
        <w:spacing w:after="0" w:line="20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We are exposed to changes in currency rates as a result of investments in foreign operations and revenue generated in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which were largely related to the SimplyProtein brand. With the SimplyProtein Sale in September 2020 as well as the restructuring-related business activities in Europe, we have mitigated some of our risk of exposure to changes in foreign currency rates.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3"/>
        </w:trPr>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gridSpan w:val="9"/>
          </w:tcPr>
          <w:p>
            <w:pPr>
              <w:jc w:val="center"/>
              <w:ind w:right="2600"/>
              <w:spacing w:after="0"/>
              <w:rPr>
                <w:sz w:val="20"/>
                <w:szCs w:val="20"/>
                <w:color w:val="auto"/>
              </w:rPr>
            </w:pPr>
            <w:r>
              <w:rPr>
                <w:rFonts w:ascii="Times New Roman" w:cs="Times New Roman" w:eastAsia="Times New Roman" w:hAnsi="Times New Roman"/>
                <w:sz w:val="16"/>
                <w:szCs w:val="16"/>
                <w:color w:val="0000FF"/>
                <w:w w:val="98"/>
              </w:rPr>
              <w:t>Index to the Financial Statements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52</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Consolidated Balance Sheets</w:t>
            </w:r>
          </w:p>
        </w:tc>
        <w:tc>
          <w:tcPr>
            <w:tcW w:w="1920" w:type="dxa"/>
            <w:vAlign w:val="bottom"/>
            <w:gridSpan w:val="7"/>
          </w:tcPr>
          <w:p>
            <w:pPr>
              <w:spacing w:after="0"/>
              <w:rPr>
                <w:sz w:val="20"/>
                <w:szCs w:val="20"/>
                <w:color w:val="auto"/>
              </w:rPr>
            </w:pPr>
          </w:p>
        </w:tc>
        <w:tc>
          <w:tcPr>
            <w:tcW w:w="3160" w:type="dxa"/>
            <w:vAlign w:val="bottom"/>
            <w:gridSpan w:val="4"/>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54</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Income and Comprehensive Income</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55</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580" w:type="dxa"/>
            <w:vAlign w:val="bottom"/>
            <w:gridSpan w:val="5"/>
          </w:tcPr>
          <w:p>
            <w:pPr>
              <w:spacing w:after="0"/>
              <w:rPr>
                <w:sz w:val="21"/>
                <w:szCs w:val="21"/>
                <w:color w:val="auto"/>
              </w:rPr>
            </w:pPr>
          </w:p>
        </w:tc>
        <w:tc>
          <w:tcPr>
            <w:tcW w:w="280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58</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260"/>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18"/>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1.</w:t>
            </w:r>
          </w:p>
        </w:tc>
        <w:tc>
          <w:tcPr>
            <w:tcW w:w="500" w:type="dxa"/>
            <w:vAlign w:val="bottom"/>
            <w:gridSpan w:val="2"/>
          </w:tcPr>
          <w:p>
            <w:pPr>
              <w:spacing w:after="0"/>
              <w:rPr>
                <w:sz w:val="24"/>
                <w:szCs w:val="24"/>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Nature of Operations and Principles of Consolidation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2.</w:t>
            </w:r>
          </w:p>
        </w:tc>
        <w:tc>
          <w:tcPr>
            <w:tcW w:w="500" w:type="dxa"/>
            <w:vAlign w:val="bottom"/>
            <w:gridSpan w:val="2"/>
          </w:tcPr>
          <w:p>
            <w:pPr>
              <w:spacing w:after="0"/>
              <w:rPr>
                <w:sz w:val="20"/>
                <w:szCs w:val="20"/>
                <w:color w:val="auto"/>
              </w:rPr>
            </w:pPr>
          </w:p>
        </w:tc>
        <w:tc>
          <w:tcPr>
            <w:tcW w:w="34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3520" w:type="dxa"/>
            <w:vAlign w:val="bottom"/>
            <w:gridSpan w:val="5"/>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3.</w:t>
            </w:r>
          </w:p>
        </w:tc>
        <w:tc>
          <w:tcPr>
            <w:tcW w:w="500" w:type="dxa"/>
            <w:vAlign w:val="bottom"/>
            <w:gridSpan w:val="2"/>
          </w:tcPr>
          <w:p>
            <w:pPr>
              <w:spacing w:after="0"/>
              <w:rPr>
                <w:sz w:val="20"/>
                <w:szCs w:val="20"/>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Business Combination</w:t>
            </w:r>
          </w:p>
        </w:tc>
        <w:tc>
          <w:tcPr>
            <w:tcW w:w="1440" w:type="dxa"/>
            <w:vAlign w:val="bottom"/>
            <w:gridSpan w:val="7"/>
          </w:tcPr>
          <w:p>
            <w:pPr>
              <w:spacing w:after="0"/>
              <w:rPr>
                <w:sz w:val="20"/>
                <w:szCs w:val="20"/>
                <w:color w:val="auto"/>
              </w:rPr>
            </w:pPr>
          </w:p>
        </w:tc>
        <w:tc>
          <w:tcPr>
            <w:tcW w:w="406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4.</w:t>
            </w:r>
          </w:p>
        </w:tc>
        <w:tc>
          <w:tcPr>
            <w:tcW w:w="500" w:type="dxa"/>
            <w:vAlign w:val="bottom"/>
            <w:gridSpan w:val="2"/>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Property and Equipment, Net</w:t>
            </w:r>
          </w:p>
        </w:tc>
        <w:tc>
          <w:tcPr>
            <w:tcW w:w="508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5.</w:t>
            </w:r>
          </w:p>
        </w:tc>
        <w:tc>
          <w:tcPr>
            <w:tcW w:w="500" w:type="dxa"/>
            <w:vAlign w:val="bottom"/>
            <w:gridSpan w:val="2"/>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Goodwill and Intangibles</w:t>
            </w:r>
          </w:p>
        </w:tc>
        <w:tc>
          <w:tcPr>
            <w:tcW w:w="508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Note 6.</w:t>
            </w:r>
          </w:p>
        </w:tc>
        <w:tc>
          <w:tcPr>
            <w:tcW w:w="80" w:type="dxa"/>
            <w:vAlign w:val="bottom"/>
            <w:tcBorders>
              <w:bottom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Accrued Expenses and Other Current Liabilities</w:t>
            </w:r>
          </w:p>
        </w:tc>
        <w:tc>
          <w:tcPr>
            <w:tcW w:w="3780" w:type="dxa"/>
            <w:vAlign w:val="bottom"/>
            <w:gridSpan w:val="6"/>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69</w:t>
            </w: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7.</w:t>
            </w:r>
          </w:p>
        </w:tc>
        <w:tc>
          <w:tcPr>
            <w:tcW w:w="500" w:type="dxa"/>
            <w:vAlign w:val="bottom"/>
            <w:gridSpan w:val="2"/>
          </w:tcPr>
          <w:p>
            <w:pPr>
              <w:spacing w:after="0"/>
              <w:rPr>
                <w:sz w:val="20"/>
                <w:szCs w:val="20"/>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6"/>
              </w:rPr>
              <w:t>Long-Term Debt and Line of Credit</w:t>
            </w: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8.</w:t>
            </w:r>
          </w:p>
        </w:tc>
        <w:tc>
          <w:tcPr>
            <w:tcW w:w="500" w:type="dxa"/>
            <w:vAlign w:val="bottom"/>
            <w:gridSpan w:val="2"/>
          </w:tcPr>
          <w:p>
            <w:pPr>
              <w:spacing w:after="0"/>
              <w:rPr>
                <w:sz w:val="20"/>
                <w:szCs w:val="20"/>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7"/>
              </w:rPr>
              <w:t>Fair Value of Financial Instruments</w:t>
            </w: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Note 9.</w:t>
            </w:r>
          </w:p>
        </w:tc>
        <w:tc>
          <w:tcPr>
            <w:tcW w:w="50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Income Taxes</w:t>
            </w:r>
          </w:p>
        </w:tc>
        <w:tc>
          <w:tcPr>
            <w:tcW w:w="1360" w:type="dxa"/>
            <w:vAlign w:val="bottom"/>
            <w:gridSpan w:val="8"/>
          </w:tcPr>
          <w:p>
            <w:pPr>
              <w:spacing w:after="0"/>
              <w:rPr>
                <w:sz w:val="20"/>
                <w:szCs w:val="20"/>
                <w:color w:val="auto"/>
              </w:rPr>
            </w:pP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10.</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Leases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4"/>
              </w:rPr>
              <w:t>Note 11.</w:t>
            </w:r>
          </w:p>
        </w:tc>
        <w:tc>
          <w:tcPr>
            <w:tcW w:w="420" w:type="dxa"/>
            <w:vAlign w:val="bottom"/>
          </w:tcPr>
          <w:p>
            <w:pPr>
              <w:spacing w:after="0"/>
              <w:rPr>
                <w:sz w:val="20"/>
                <w:szCs w:val="20"/>
                <w:color w:val="auto"/>
              </w:rPr>
            </w:pPr>
          </w:p>
        </w:tc>
        <w:tc>
          <w:tcPr>
            <w:tcW w:w="2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4800" w:type="dxa"/>
            <w:vAlign w:val="bottom"/>
            <w:gridSpan w:val="10"/>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r>
      <w:tr>
        <w:trPr>
          <w:trHeight w:val="237"/>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Note 12.</w:t>
            </w:r>
          </w:p>
        </w:tc>
        <w:tc>
          <w:tcPr>
            <w:tcW w:w="420" w:type="dxa"/>
            <w:vAlign w:val="bottom"/>
          </w:tcPr>
          <w:p>
            <w:pPr>
              <w:spacing w:after="0"/>
              <w:rPr>
                <w:sz w:val="20"/>
                <w:szCs w:val="20"/>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Note 13.</w:t>
            </w:r>
          </w:p>
        </w:tc>
        <w:tc>
          <w:tcPr>
            <w:tcW w:w="4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Earnings Per Share</w:t>
            </w:r>
          </w:p>
        </w:tc>
        <w:tc>
          <w:tcPr>
            <w:tcW w:w="120" w:type="dxa"/>
            <w:vAlign w:val="bottom"/>
          </w:tcPr>
          <w:p>
            <w:pPr>
              <w:spacing w:after="0"/>
              <w:rPr>
                <w:sz w:val="20"/>
                <w:szCs w:val="20"/>
                <w:color w:val="auto"/>
              </w:rPr>
            </w:pPr>
          </w:p>
        </w:tc>
        <w:tc>
          <w:tcPr>
            <w:tcW w:w="5600" w:type="dxa"/>
            <w:vAlign w:val="bottom"/>
            <w:gridSpan w:val="15"/>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Note 14.</w:t>
            </w:r>
          </w:p>
        </w:tc>
        <w:tc>
          <w:tcPr>
            <w:tcW w:w="420" w:type="dxa"/>
            <w:vAlign w:val="bottom"/>
          </w:tcPr>
          <w:p>
            <w:pPr>
              <w:spacing w:after="0"/>
              <w:rPr>
                <w:sz w:val="20"/>
                <w:szCs w:val="20"/>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Omnibus Incentive Plan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15.</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Segment and Customer Information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0000FF"/>
            </w:tcBorders>
            <w:gridSpan w:val="10"/>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16.</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Restructuring and Related Charges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Simply Good Foods Company and subsidiaries (the "Company") as of August 27, 2022 and August 28, 2021, the related consolidated statements of income and comprehensive income, stockholders' equity, and cash flows, for the fifty-two week periods ended August 27, 2022, August 28, 2021, and August 29, 2020 and the related notes (collectively referred to as the "financial statements"). In our opinion, the financial statements present fairly, in all material respects, the financial position of the Company as of August 27, 2022 and August 28, 2021, and the results of its operations and its cash flows for each of the three years in the period ended August 27, 2022,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August 27,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October 21, 2022,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 Trade Promotions — Refer to Note 2 to the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 These estimates are made using various information including historical data on performance of similar trade promotional activities, market data, and the Company's best estimates of current activity. As of August 27, 2022, the allowance for trade promotions balance, which is recorded as a reduction to accounts receivable, was approximately $23.9 million.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subjectivity of estimating the expected promotional claims, performing audit procedures to evaluate whether the allowance for trade promotions balance is appropriately recorded as of August 27, 2022, required a high degree of auditor judgment and an increased extent of effort.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allowance for trade promotions balance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allowance for trade promotions balance recorded as of August 27, 2022, we: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contract terms directly with the customer.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contract terms from the accounting records to the promotion agreement with the customer and verified the promotion period was prior to August 28, 2022.</w:t>
      </w:r>
    </w:p>
    <w:p>
      <w:pPr>
        <w:ind w:left="1300" w:right="20" w:hanging="320"/>
        <w:spacing w:after="0" w:line="250" w:lineRule="auto"/>
        <w:tabs>
          <w:tab w:leader="none" w:pos="13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year-end trade accrual estimate using historical data on performance of similar trade promotional activities, market data, and subsequent customer activity.</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resolved after August 27, 2022, we compared that amount to the August 27, 2022 allowance for promotions balance and traced the resolved deduction to a properly recorded sale.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7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27, 2022</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239"/>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111,456</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298,666</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54,792</w:t>
            </w: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59,713</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53,606</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159,835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44,890</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863,413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11)</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101,322,834 and 95,882,908</w:t>
            </w:r>
          </w:p>
        </w:tc>
        <w:tc>
          <w:tcPr>
            <w:tcW w:w="16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issued at August 27, 2022 and August 28, 2021, respectively</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1,818,754 shares and 98,234 shares at cost at August 27, 2022 and August 28, 2021,</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(62,003)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1,085,001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105,807</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1,188,804</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ectPr>
          <w:pgSz w:w="11900" w:h="16838" w:orient="portrait"/>
          <w:cols w:equalWidth="0" w:num="1">
            <w:col w:w="10640"/>
          </w:cols>
          <w:pgMar w:left="320" w:top="121" w:right="9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59"/>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27, 2022</w:t>
            </w: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1,168,678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1,005,613</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816,641</w:t>
            </w:r>
          </w:p>
        </w:tc>
      </w:tr>
      <w:tr>
        <w:trPr>
          <w:trHeight w:val="25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595,847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492,313</w:t>
            </w:r>
          </w:p>
        </w:tc>
      </w:tr>
      <w:tr>
        <w:trPr>
          <w:trHeight w:val="23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324,328</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112,928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94,469</w:t>
            </w:r>
          </w:p>
        </w:tc>
      </w:tr>
      <w:tr>
        <w:trPr>
          <w:trHeight w:val="26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106,251</w:t>
            </w: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15,259</w:t>
            </w: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27,125</w:t>
            </w:r>
          </w:p>
        </w:tc>
      </w:tr>
      <w:tr>
        <w:trPr>
          <w:trHeight w:val="254"/>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242,802</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236,091</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246,104</w:t>
            </w:r>
          </w:p>
        </w:tc>
      </w:tr>
      <w:tr>
        <w:trPr>
          <w:trHeight w:val="256"/>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78,224</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(32,813)</w:t>
            </w:r>
          </w:p>
        </w:tc>
      </w:tr>
      <w:tr>
        <w:trPr>
          <w:trHeight w:val="254"/>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in fair value change of warrant liability</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30,938</w:t>
            </w:r>
          </w:p>
        </w:tc>
      </w:tr>
      <w:tr>
        <w:trPr>
          <w:trHeight w:val="26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57"/>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78,964</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65,638</w:t>
            </w:r>
          </w:p>
        </w:tc>
      </w:tr>
      <w:tr>
        <w:trPr>
          <w:trHeight w:val="259"/>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54"/>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6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98,754,913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95,743,413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93,968,953</w:t>
            </w:r>
          </w:p>
        </w:tc>
      </w:tr>
      <w:tr>
        <w:trPr>
          <w:trHeight w:val="26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100,589,156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97,365,598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98,343,722</w:t>
            </w: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3"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The Simply Good Foods Company and Subsidiaries</w:t>
      </w:r>
    </w:p>
    <w:p>
      <w:pPr>
        <w:spacing w:after="0" w:line="2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8"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19"/>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28, 2021</w:t>
            </w:r>
          </w:p>
        </w:tc>
        <w:tc>
          <w:tcPr>
            <w:tcW w:w="16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19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65,638</w:t>
            </w:r>
          </w:p>
        </w:tc>
      </w:tr>
      <w:tr>
        <w:trPr>
          <w:trHeight w:val="165"/>
        </w:trPr>
        <w:tc>
          <w:tcPr>
            <w:tcW w:w="5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16,007</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in fair value change of warrant liability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(30,938)</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Estimated credit losses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operating lease right-of-use asset impairment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23,880</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w:t>
            </w:r>
          </w:p>
        </w:tc>
      </w:tr>
      <w:tr>
        <w:trPr>
          <w:trHeight w:val="213"/>
        </w:trPr>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58,921</w:t>
            </w: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note receivable</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(982,075)</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Investments in intangible assets and other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(983,994)</w:t>
            </w: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352,542</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issuance costs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(110,032)</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(150,049)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754,652</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(170,421)</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266,341</w:t>
            </w: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95,847</w:t>
            </w:r>
          </w:p>
        </w:tc>
      </w:tr>
    </w:tbl>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260"/>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28, 2021</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c>
          <w:tcPr>
            <w:tcW w:w="0" w:type="dxa"/>
            <w:vAlign w:val="bottom"/>
          </w:tcPr>
          <w:p>
            <w:pPr>
              <w:spacing w:after="0"/>
              <w:rPr>
                <w:sz w:val="1"/>
                <w:szCs w:val="1"/>
                <w:color w:val="auto"/>
              </w:rPr>
            </w:pPr>
          </w:p>
        </w:tc>
      </w:tr>
      <w:tr>
        <w:trPr>
          <w:trHeight w:val="23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30,038</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proceeds from sale of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 and other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extinguishment of warrant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5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Operating lease right-of-use assets recognized after ASU No 2016-02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26,222</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transition</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Operating lease right-of-use assets recognized at ASU No 2016-02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0" w:type="dxa"/>
            <w:vAlign w:val="bottom"/>
          </w:tcPr>
          <w:p>
            <w:pPr>
              <w:spacing w:after="0"/>
              <w:rPr>
                <w:sz w:val="1"/>
                <w:szCs w:val="1"/>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transition</w:t>
            </w:r>
          </w:p>
        </w:tc>
        <w:tc>
          <w:tcPr>
            <w:tcW w:w="1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right-of-use assets recognized at ASU No 2016-02 transition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397"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1680" w:type="dxa"/>
            <w:vAlign w:val="bottom"/>
          </w:tcPr>
          <w:p>
            <w:pPr>
              <w:spacing w:after="0"/>
              <w:rPr>
                <w:sz w:val="20"/>
                <w:szCs w:val="20"/>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Common Stock</w:t>
            </w: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Treasury Stock</w:t>
            </w:r>
          </w:p>
        </w:tc>
        <w:tc>
          <w:tcPr>
            <w:tcW w:w="140" w:type="dxa"/>
            <w:vAlign w:val="bottom"/>
          </w:tcPr>
          <w:p>
            <w:pPr>
              <w:spacing w:after="0"/>
              <w:rPr>
                <w:sz w:val="20"/>
                <w:szCs w:val="20"/>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color w:val="auto"/>
              </w:rPr>
              <w:t>Additional</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color w:val="auto"/>
              </w:rPr>
              <w:t>Retained Earnings</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Accumulated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5"/>
                <w:szCs w:val="15"/>
                <w:color w:val="auto"/>
              </w:rPr>
              <w:t>(Accumulated</w:t>
            </w:r>
          </w:p>
        </w:tc>
        <w:tc>
          <w:tcPr>
            <w:tcW w:w="100" w:type="dxa"/>
            <w:vAlign w:val="bottom"/>
          </w:tcPr>
          <w:p>
            <w:pPr>
              <w:spacing w:after="0"/>
              <w:rPr>
                <w:sz w:val="5"/>
                <w:szCs w:val="5"/>
                <w:color w:val="auto"/>
              </w:rPr>
            </w:pPr>
          </w:p>
        </w:tc>
        <w:tc>
          <w:tcPr>
            <w:tcW w:w="1240" w:type="dxa"/>
            <w:vAlign w:val="bottom"/>
            <w:gridSpan w:val="2"/>
          </w:tcPr>
          <w:p>
            <w:pPr>
              <w:jc w:val="center"/>
              <w:ind w:right="220"/>
              <w:spacing w:after="0" w:line="68" w:lineRule="exact"/>
              <w:rPr>
                <w:sz w:val="20"/>
                <w:szCs w:val="20"/>
                <w:color w:val="auto"/>
              </w:rPr>
            </w:pPr>
            <w:r>
              <w:rPr>
                <w:rFonts w:ascii="Times New Roman" w:cs="Times New Roman" w:eastAsia="Times New Roman" w:hAnsi="Times New Roman"/>
                <w:sz w:val="7"/>
                <w:szCs w:val="7"/>
                <w:color w:val="auto"/>
              </w:rPr>
              <w:t>Other</w:t>
            </w:r>
          </w:p>
        </w:tc>
        <w:tc>
          <w:tcPr>
            <w:tcW w:w="180" w:type="dxa"/>
            <w:vAlign w:val="bottom"/>
          </w:tcPr>
          <w:p>
            <w:pPr>
              <w:spacing w:after="0"/>
              <w:rPr>
                <w:sz w:val="5"/>
                <w:szCs w:val="5"/>
                <w:color w:val="auto"/>
              </w:rPr>
            </w:pPr>
          </w:p>
        </w:tc>
        <w:tc>
          <w:tcPr>
            <w:tcW w:w="780" w:type="dxa"/>
            <w:vAlign w:val="bottom"/>
            <w:vMerge w:val="restart"/>
          </w:tcPr>
          <w:p>
            <w:pPr>
              <w:jc w:val="right"/>
              <w:ind w:right="244"/>
              <w:spacing w:after="0" w:line="149"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40"/>
        </w:trPr>
        <w:tc>
          <w:tcPr>
            <w:tcW w:w="1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3"/>
            <w:vMerge w:val="restart"/>
          </w:tcPr>
          <w:p>
            <w:pPr>
              <w:jc w:val="center"/>
              <w:ind w:right="140"/>
              <w:spacing w:after="0" w:line="159" w:lineRule="exact"/>
              <w:rPr>
                <w:sz w:val="20"/>
                <w:szCs w:val="20"/>
                <w:color w:val="auto"/>
              </w:rPr>
            </w:pPr>
            <w:r>
              <w:rPr>
                <w:rFonts w:ascii="Times New Roman" w:cs="Times New Roman" w:eastAsia="Times New Roman" w:hAnsi="Times New Roman"/>
                <w:sz w:val="15"/>
                <w:szCs w:val="15"/>
                <w:color w:val="auto"/>
              </w:rPr>
              <w:t>Paid in Capital</w:t>
            </w: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5"/>
                <w:szCs w:val="15"/>
                <w:color w:val="auto"/>
              </w:rPr>
              <w:t>Comprehensive</w:t>
            </w: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6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Shares</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auto"/>
              </w:rPr>
              <w:t>Amount</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w:t>
            </w: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color w:val="auto"/>
              </w:rPr>
              <w:t>Deficit)</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Loss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16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Balance, August 31,</w:t>
            </w:r>
          </w:p>
        </w:tc>
        <w:tc>
          <w:tcPr>
            <w:tcW w:w="9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81,973,284</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98,234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715,740</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712,868</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65,638</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Stock-based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7,636</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translation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61"/>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Public equity offering</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13,379,205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349,085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349,219</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Shares issued upon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58,974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Exercise of options to</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340,382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4,206</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Balance, August 29,</w:t>
            </w:r>
          </w:p>
        </w:tc>
        <w:tc>
          <w:tcPr>
            <w:tcW w:w="92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95,751,845</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958</w:t>
            </w:r>
          </w:p>
        </w:tc>
        <w:tc>
          <w:tcPr>
            <w:tcW w:w="12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98,234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1,076,472</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64,927</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1,139,333</w:t>
            </w:r>
          </w:p>
        </w:tc>
        <w:tc>
          <w:tcPr>
            <w:tcW w:w="0" w:type="dxa"/>
            <w:vAlign w:val="bottom"/>
          </w:tcPr>
          <w:p>
            <w:pPr>
              <w:spacing w:after="0"/>
              <w:rPr>
                <w:sz w:val="1"/>
                <w:szCs w:val="1"/>
                <w:color w:val="auto"/>
              </w:rPr>
            </w:pPr>
          </w:p>
        </w:tc>
      </w:tr>
      <w:tr>
        <w:trPr>
          <w:trHeight w:val="194"/>
        </w:trPr>
        <w:tc>
          <w:tcPr>
            <w:tcW w:w="1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40,880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40,880</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Stock-based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8,265</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Foreign currency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translation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Shares issued upon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72,755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Exercise of options to</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58,308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Balance, August 28,</w:t>
            </w:r>
          </w:p>
        </w:tc>
        <w:tc>
          <w:tcPr>
            <w:tcW w:w="92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95,882,908</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959</w:t>
            </w:r>
          </w:p>
        </w:tc>
        <w:tc>
          <w:tcPr>
            <w:tcW w:w="12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98,234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1,085,001</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105,807</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1,188,804</w:t>
            </w:r>
          </w:p>
        </w:tc>
        <w:tc>
          <w:tcPr>
            <w:tcW w:w="0" w:type="dxa"/>
            <w:vAlign w:val="bottom"/>
          </w:tcPr>
          <w:p>
            <w:pPr>
              <w:spacing w:after="0"/>
              <w:rPr>
                <w:sz w:val="1"/>
                <w:szCs w:val="1"/>
                <w:color w:val="auto"/>
              </w:rPr>
            </w:pPr>
          </w:p>
        </w:tc>
      </w:tr>
      <w:tr>
        <w:trPr>
          <w:trHeight w:val="194"/>
        </w:trPr>
        <w:tc>
          <w:tcPr>
            <w:tcW w:w="1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108,574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108,574</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Stock-based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11,697</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Foreign currency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translation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Reclassification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adjustment for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currency translation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8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gains related to the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liquidation of foreign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entities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Repurchase of</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1,720,520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(59,858)</w:t>
            </w:r>
          </w:p>
        </w:tc>
        <w:tc>
          <w:tcPr>
            <w:tcW w:w="0" w:type="dxa"/>
            <w:vAlign w:val="bottom"/>
          </w:tcPr>
          <w:p>
            <w:pPr>
              <w:spacing w:after="0"/>
              <w:rPr>
                <w:sz w:val="1"/>
                <w:szCs w:val="1"/>
                <w:color w:val="auto"/>
              </w:rPr>
            </w:pPr>
          </w:p>
        </w:tc>
      </w:tr>
      <w:tr>
        <w:trPr>
          <w:trHeight w:val="253"/>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Warrant conversion</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4,830,761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189,849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189,897</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Shares issued upon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256,374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(3,660)</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Exercise of options to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352,791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4,343</w:t>
            </w:r>
          </w:p>
        </w:tc>
        <w:tc>
          <w:tcPr>
            <w:tcW w:w="0" w:type="dxa"/>
            <w:vAlign w:val="bottom"/>
          </w:tcPr>
          <w:p>
            <w:pPr>
              <w:spacing w:after="0"/>
              <w:rPr>
                <w:sz w:val="1"/>
                <w:szCs w:val="1"/>
                <w:color w:val="auto"/>
              </w:rPr>
            </w:pPr>
          </w:p>
        </w:tc>
      </w:tr>
      <w:tr>
        <w:trPr>
          <w:trHeight w:val="133"/>
        </w:trPr>
        <w:tc>
          <w:tcPr>
            <w:tcW w:w="1680" w:type="dxa"/>
            <w:vAlign w:val="bottom"/>
            <w:tcBorders>
              <w:top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Balance, August 27,</w:t>
            </w: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101,322,834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1,013</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1,818,754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1,287,224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214,381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1,438,664</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43"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Simply Good Foods is poised to expand its wellness platform through innovation and organic growth along with acquisition opportunities in the nutritional snacking space.</w:t>
      </w:r>
    </w:p>
    <w:p>
      <w:pPr>
        <w:spacing w:after="0" w:line="223"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52" w:lineRule="exact"/>
        <w:rPr>
          <w:sz w:val="20"/>
          <w:szCs w:val="20"/>
          <w:color w:val="auto"/>
        </w:rPr>
      </w:pPr>
    </w:p>
    <w:p>
      <w:pPr>
        <w:jc w:val="both"/>
        <w:ind w:firstLine="203"/>
        <w:spacing w:after="0" w:line="253" w:lineRule="auto"/>
        <w:rPr>
          <w:sz w:val="20"/>
          <w:szCs w:val="20"/>
          <w:color w:val="auto"/>
        </w:rPr>
      </w:pPr>
      <w:r>
        <w:rPr>
          <w:rFonts w:ascii="Times New Roman" w:cs="Times New Roman" w:eastAsia="Times New Roman" w:hAnsi="Times New Roman"/>
          <w:sz w:val="18"/>
          <w:szCs w:val="18"/>
          <w:color w:val="auto"/>
        </w:rPr>
        <w:t>While the Company’s business has improved from the end of fiscal year 2021, driven in part by the increasing normalization of consumer mobility and shopper traffic patterns in brick-and-mortar retailers versus prior periods that were pressured by COVID-19 movement restrictions, the ultimate effect COVID-19, supply chain challenges, cost pressures, and the overall effects of the current high inflation environment on consumer purchasing patterns could have on our business continues to be not fully known.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 Factors contributing to the uncertainty described above, among other things, include (i) continued supply chain disruptions, including disruptions resulting from labor shortages and other cost pressures, (ii) changes to customer operations, (iii) a reversal in improving consumer purchasing and consumption behavior, and (iv) unforeseen business disruptions or other effects due to current global geopolitical tensions, including relating directly or indirectly to the Ukraine crisis.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19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89"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27, 2022 and August 28, 2021. The remaining financial statements include the fifty-two weeks ended August 27, 2022, the fifty-two weeks ended August 28, 2021, and the fifty-two weeks ended August 29, 2020.</w:t>
      </w:r>
    </w:p>
    <w:p>
      <w:pPr>
        <w:spacing w:after="0" w:line="207" w:lineRule="exact"/>
        <w:rPr>
          <w:sz w:val="20"/>
          <w:szCs w:val="20"/>
          <w:color w:val="auto"/>
        </w:rPr>
      </w:pPr>
    </w:p>
    <w:p>
      <w:pPr>
        <w:jc w:val="both"/>
        <w:ind w:firstLine="32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20" w:firstLine="203"/>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“Quest Acquisition”). On November 7, 2019, Simply Good USA completed the Quest Acquisition via Simply Good USA’s acquisition of 100% of the equity interests of Voyage Holdings, LLC, and VMG Quest Blocker, Inc. (the “Target Companies”) for a cash purchase price of approximately $1.0 billion subject to customary post-closing adjustments for the Target Companies’ levels of cash, indebtedness, net working capital and transaction expenses as of the closing date.</w:t>
      </w:r>
    </w:p>
    <w:p>
      <w:pPr>
        <w:spacing w:after="0" w:line="214" w:lineRule="exact"/>
        <w:rPr>
          <w:sz w:val="20"/>
          <w:szCs w:val="20"/>
          <w:color w:val="auto"/>
        </w:rPr>
      </w:pPr>
    </w:p>
    <w:p>
      <w:pPr>
        <w:jc w:val="both"/>
        <w:ind w:firstLine="249"/>
        <w:spacing w:after="0" w:line="253" w:lineRule="auto"/>
        <w:rPr>
          <w:sz w:val="20"/>
          <w:szCs w:val="20"/>
          <w:color w:val="auto"/>
        </w:rPr>
      </w:pPr>
      <w:r>
        <w:rPr>
          <w:rFonts w:ascii="Times New Roman" w:cs="Times New Roman" w:eastAsia="Times New Roman" w:hAnsi="Times New Roman"/>
          <w:sz w:val="18"/>
          <w:szCs w:val="18"/>
          <w:color w:val="auto"/>
        </w:rPr>
        <w:t>The Quest Acquisition was accounted for using the acquisition method of accounting prescribed by ASC Topic 805, Business Combinations (“ASC 805”), whereby the results of operations, including the revenues and earnings of Quest,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The Company completed its final assessment of purchase price allocation for the Quest Acquisition to the estimated fair value of the net assets acquired at the date of acquisition during the first quarter of fiscal year 2021. Measurement period adjustments were recognized in the reporting period in which the adjustments were determined and calculated as if the accounting had been completed at the acquisition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211"/>
        <w:spacing w:after="0" w:line="256"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4"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consists of cash on hand, deposits available on demand and other short-term, highly liquid investments with original maturities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Expected Credit Losses</w:t>
      </w:r>
    </w:p>
    <w:p>
      <w:pPr>
        <w:spacing w:after="0" w:line="254"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consists primarily of trade receivables, net of allowances for doubtful accounts, returns, and trade promotions.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 based upon the Company’s historical credit loss experience, adjusted for asset-specific risk characteristics, current economic conditions, and reasonable forecasts. Accounts receivable are written off when determined to be uncollectible.</w:t>
      </w:r>
    </w:p>
    <w:p>
      <w:pPr>
        <w:spacing w:after="0" w:line="212"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approximately $0.1 million, $0.6 million, and $0.5 million for the fifty-two weeks ended August 27, 2022, August 28, 2021, and August 29, 2020, respectively. As of August 27, 2022 and August 28, 2021, the allowance for doubtful accounts was $1.2 million and $1.1 million, respectively. Additionally, as of August 27, 2022, the Company had an expected credit loss reserve of $1.0 million on its $3.0 million note receivable related to the SimplyProtein Sale, as defined in Note 5, Goodwill and Intangibles, of which $0.5 million was recorded during each of the fifty-two weeks ended August 27, 2022 and August 28, 2021,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4"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are valued at the lower of cost or net realizable value on a first-in, first-out basis, adjusted for the value of inventory that is determined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as presented with the Consolidated Balance Sheets, is summarized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116,047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91,893</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125,479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97,269</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4" w:lineRule="exact"/>
        <w:rPr>
          <w:sz w:val="20"/>
          <w:szCs w:val="20"/>
          <w:color w:val="auto"/>
        </w:rPr>
      </w:pPr>
    </w:p>
    <w:p>
      <w:pPr>
        <w:jc w:val="both"/>
        <w:ind w:firstLine="26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is stated at the allocated fair value for acquired assets. Additions to property and equipment are recorded at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depreciated on a straight-line basis over their estimated useful lives. The general ranges of estimated useful lives are:</w:t>
      </w: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27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7 years</w:t>
            </w:r>
          </w:p>
        </w:tc>
      </w:tr>
      <w:tr>
        <w:trPr>
          <w:trHeight w:val="267"/>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software and website development costs</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r>
        <w:trPr>
          <w:trHeight w:val="27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7 years</w:t>
            </w:r>
          </w:p>
        </w:tc>
      </w:tr>
      <w:tr>
        <w:trPr>
          <w:trHeight w:val="26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312"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remaining term of the lease or the useful life of the improvement utilizing the straight-line method.</w:t>
      </w:r>
    </w:p>
    <w:p>
      <w:pPr>
        <w:spacing w:after="0" w:line="187" w:lineRule="exact"/>
        <w:rPr>
          <w:sz w:val="20"/>
          <w:szCs w:val="20"/>
          <w:color w:val="auto"/>
        </w:rPr>
      </w:pPr>
    </w:p>
    <w:p>
      <w:pPr>
        <w:jc w:val="both"/>
        <w:ind w:firstLine="214"/>
        <w:spacing w:after="0" w:line="284" w:lineRule="auto"/>
        <w:rPr>
          <w:sz w:val="20"/>
          <w:szCs w:val="20"/>
          <w:color w:val="auto"/>
        </w:rPr>
      </w:pPr>
      <w:r>
        <w:rPr>
          <w:rFonts w:ascii="Times New Roman" w:cs="Times New Roman" w:eastAsia="Times New Roman" w:hAnsi="Times New Roman"/>
          <w:sz w:val="18"/>
          <w:szCs w:val="18"/>
          <w:color w:val="auto"/>
        </w:rPr>
        <w:t xml:space="preserve">The Company performs impairment tests for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when circumstances indicate that the carrying value of the asset may not be recoverable. There were no indicators of impairment in the fifty-two weeks ended August 27, 2022, August 28, 2021, or August 29,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254"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Intangible assets, net </w:t>
      </w:r>
      <w:r>
        <w:rPr>
          <w:rFonts w:ascii="Times New Roman" w:cs="Times New Roman" w:eastAsia="Times New Roman" w:hAnsi="Times New Roman"/>
          <w:sz w:val="18"/>
          <w:szCs w:val="18"/>
          <w:color w:val="auto"/>
        </w:rPr>
        <w:t>result primarily from the consummation of the business combination between Conyers Park Acquisition Corp.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NCP-ATK Holdings, Inc. on July 7, 2017, which created the Company, and the Quest Acquisition.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primarily includes brands 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 of a reporting unit or an indefinite-lived intangible asset is less than its carrying amount.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Impairment is indicated if the estimated fair value of the reporting unit or indefinite-lived intangible asset is less than the carrying amount, and an impairment charge is recognized for the differential.</w:t>
      </w:r>
    </w:p>
    <w:p>
      <w:pPr>
        <w:spacing w:after="0" w:line="215" w:lineRule="exact"/>
        <w:rPr>
          <w:sz w:val="20"/>
          <w:szCs w:val="20"/>
          <w:color w:val="auto"/>
        </w:rPr>
      </w:pPr>
    </w:p>
    <w:p>
      <w:pPr>
        <w:jc w:val="both"/>
        <w:ind w:firstLine="232"/>
        <w:spacing w:after="0" w:line="254" w:lineRule="auto"/>
        <w:rPr>
          <w:sz w:val="20"/>
          <w:szCs w:val="20"/>
          <w:color w:val="auto"/>
        </w:rPr>
      </w:pPr>
      <w:r>
        <w:rPr>
          <w:rFonts w:ascii="Times New Roman" w:cs="Times New Roman" w:eastAsia="Times New Roman" w:hAnsi="Times New Roman"/>
          <w:sz w:val="18"/>
          <w:szCs w:val="18"/>
          <w:color w:val="auto"/>
        </w:rPr>
        <w:t>For fiscal year 2022, the Company performed a qualitative goodwill impairment assessment for its consolidated reporting unit and its indefinite-lived intangible assets. The qualitative assessments did not identify indicators of impairment, and it was determined that it was more likely than not the reporting unit and indefinite-lived intangibles had fair values in excess of their carrying values. Accordingly, no further impairment assessment was necessary, and the Company determined neither its reporting unit or any indefinite-lived intangibles were impaired. There were no impairment charges related to goodwill in the fifty-two weeks ended August 27, 2022 or since the inception of the Company. There were no impairment charges related to indefinite-lived intangibles recognized in the fifty-two weeks ended August 27, 2022 or August 28, 2021. There was a $3.0 million loss on impairment of an indefinite-lived intangible related to the SimplyProtein brand in the fifty-two weeks ended August 29, 2020. Refer to Note 5, Goodwill and Intangibles for additional information regarding the Company’s reporting units and impairment assessments.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and Debt Discounts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Costs incurred in obtaining long-term financing paid to parties other than creditors are considered a deferred financing cost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271"/>
        <w:spacing w:after="0" w:line="258"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203" w:lineRule="exact"/>
        <w:rPr>
          <w:sz w:val="20"/>
          <w:szCs w:val="20"/>
          <w:color w:val="auto"/>
        </w:rPr>
      </w:pPr>
    </w:p>
    <w:p>
      <w:pPr>
        <w:jc w:val="both"/>
        <w:ind w:firstLine="251"/>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219"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Accounting</w:t>
      </w:r>
    </w:p>
    <w:p>
      <w:pPr>
        <w:spacing w:after="0" w:line="256" w:lineRule="exact"/>
        <w:rPr>
          <w:sz w:val="20"/>
          <w:szCs w:val="20"/>
          <w:color w:val="auto"/>
        </w:rPr>
      </w:pPr>
    </w:p>
    <w:p>
      <w:pPr>
        <w:jc w:val="both"/>
        <w:ind w:firstLine="205"/>
        <w:spacing w:after="0" w:line="258"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and ASC Topic 815-40, Derivatives and Hedging: Contracts in Entity’s Own Equity (“ASC 815-40”). The classification of derivative instruments, including whether such instruments should be recorded as liabilities or as equity, is assessed as part of this evaluation.</w:t>
      </w:r>
    </w:p>
    <w:p>
      <w:pPr>
        <w:spacing w:after="0" w:line="210" w:lineRule="exact"/>
        <w:rPr>
          <w:sz w:val="20"/>
          <w:szCs w:val="20"/>
          <w:color w:val="auto"/>
        </w:rPr>
      </w:pPr>
    </w:p>
    <w:p>
      <w:pPr>
        <w:jc w:val="both"/>
        <w:ind w:firstLine="258"/>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(the “Private Warrants”). Such Private Warrants were held by Conyers Park Sponsor, LLC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27, 2022.</w:t>
      </w:r>
    </w:p>
    <w:p>
      <w:pPr>
        <w:spacing w:after="0" w:line="210" w:lineRule="exact"/>
        <w:rPr>
          <w:sz w:val="20"/>
          <w:szCs w:val="20"/>
          <w:color w:val="auto"/>
        </w:rPr>
      </w:pPr>
    </w:p>
    <w:p>
      <w:pPr>
        <w:jc w:val="both"/>
        <w:ind w:firstLine="288"/>
        <w:spacing w:after="0" w:line="258" w:lineRule="auto"/>
        <w:rPr>
          <w:sz w:val="20"/>
          <w:szCs w:val="20"/>
          <w:color w:val="auto"/>
        </w:rPr>
      </w:pPr>
      <w:r>
        <w:rPr>
          <w:rFonts w:ascii="Times New Roman" w:cs="Times New Roman" w:eastAsia="Times New Roman" w:hAnsi="Times New Roman"/>
          <w:sz w:val="18"/>
          <w:szCs w:val="18"/>
          <w:color w:val="auto"/>
        </w:rPr>
        <w:t>During the reporting periods the Private Warrants were outstanding, they were precluded from equity classification, being liability-classified. The Company accounted for these Private Warrants as a derivative warrant liability in accordance with ASC 815-40. Accordingly, the Company recognized the Private Warrants as a liability at fair value and adjusted the Private Warrants to fair value at each reporting period through other income. The fair value adjustments were determined using a Black-Scholes option-pricing methodology (“Black-Scholes model”). The valuation was primarily based on observable market data while the related theoretical private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warrant volatility assumption within the Black-Scholes model represented a Level 3 measurement within the fair value measurement hierarchy. The periodic remeasurement of the Private Warrants was reflected in </w:t>
      </w:r>
      <w:r>
        <w:rPr>
          <w:rFonts w:ascii="Times New Roman" w:cs="Times New Roman" w:eastAsia="Times New Roman" w:hAnsi="Times New Roman"/>
          <w:sz w:val="18"/>
          <w:szCs w:val="18"/>
          <w:i w:val="1"/>
          <w:iCs w:val="1"/>
          <w:color w:val="auto"/>
        </w:rPr>
        <w:t>(Loss) gain in fair value change of warrant liability</w:t>
      </w:r>
      <w:r>
        <w:rPr>
          <w:rFonts w:ascii="Times New Roman" w:cs="Times New Roman" w:eastAsia="Times New Roman" w:hAnsi="Times New Roman"/>
          <w:sz w:val="18"/>
          <w:szCs w:val="18"/>
          <w:color w:val="auto"/>
        </w:rPr>
        <w:t xml:space="preserve"> within the Consolidated Statements of Income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287"/>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207" w:lineRule="exact"/>
        <w:rPr>
          <w:sz w:val="20"/>
          <w:szCs w:val="20"/>
          <w:color w:val="auto"/>
        </w:rPr>
      </w:pPr>
    </w:p>
    <w:p>
      <w:pPr>
        <w:jc w:val="both"/>
        <w:ind w:firstLine="234"/>
        <w:spacing w:after="0" w:line="255"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As of August 27, 2022 and August 28, 2021, the allowance for trade promotions was $23.9 million and $22.3 million, respectively.</w:t>
      </w:r>
    </w:p>
    <w:p>
      <w:pPr>
        <w:spacing w:after="0" w:line="216" w:lineRule="exact"/>
        <w:rPr>
          <w:sz w:val="20"/>
          <w:szCs w:val="20"/>
          <w:color w:val="auto"/>
        </w:rPr>
      </w:pPr>
    </w:p>
    <w:p>
      <w:pPr>
        <w:jc w:val="both"/>
        <w:ind w:firstLine="204"/>
        <w:spacing w:after="0" w:line="255" w:lineRule="auto"/>
        <w:rPr>
          <w:sz w:val="20"/>
          <w:szCs w:val="20"/>
          <w:color w:val="auto"/>
        </w:rPr>
      </w:pPr>
      <w:r>
        <w:rPr>
          <w:rFonts w:ascii="Times New Roman" w:cs="Times New Roman" w:eastAsia="Times New Roman" w:hAnsi="Times New Roman"/>
          <w:sz w:val="18"/>
          <w:szCs w:val="18"/>
          <w:color w:val="auto"/>
        </w:rPr>
        <w:t>Estimates of variable consideration are made using various information including historical data on performance of similar trade promotional activities, market data from IRI,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216" w:lineRule="exact"/>
        <w:rPr>
          <w:sz w:val="20"/>
          <w:szCs w:val="20"/>
          <w:color w:val="auto"/>
        </w:rPr>
      </w:pPr>
    </w:p>
    <w:p>
      <w:pPr>
        <w:jc w:val="both"/>
        <w:ind w:firstLine="249"/>
        <w:spacing w:after="0" w:line="261" w:lineRule="auto"/>
        <w:rPr>
          <w:sz w:val="20"/>
          <w:szCs w:val="20"/>
          <w:color w:val="auto"/>
        </w:rPr>
      </w:pPr>
      <w:r>
        <w:rPr>
          <w:rFonts w:ascii="Times New Roman" w:cs="Times New Roman" w:eastAsia="Times New Roman" w:hAnsi="Times New Roman"/>
          <w:sz w:val="18"/>
          <w:szCs w:val="18"/>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207"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w:t>
      </w:r>
    </w:p>
    <w:p>
      <w:pPr>
        <w:spacing w:after="0" w:line="207" w:lineRule="exact"/>
        <w:rPr>
          <w:sz w:val="20"/>
          <w:szCs w:val="20"/>
          <w:color w:val="auto"/>
        </w:rPr>
      </w:pPr>
    </w:p>
    <w:p>
      <w:pPr>
        <w:jc w:val="both"/>
        <w:ind w:firstLine="209"/>
        <w:spacing w:after="0" w:line="266" w:lineRule="auto"/>
        <w:rPr>
          <w:sz w:val="20"/>
          <w:szCs w:val="20"/>
          <w:color w:val="auto"/>
        </w:rPr>
      </w:pPr>
      <w:r>
        <w:rPr>
          <w:rFonts w:ascii="Times New Roman" w:cs="Times New Roman" w:eastAsia="Times New Roman" w:hAnsi="Times New Roman"/>
          <w:sz w:val="18"/>
          <w:szCs w:val="18"/>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203" w:lineRule="exact"/>
        <w:rPr>
          <w:sz w:val="20"/>
          <w:szCs w:val="20"/>
          <w:color w:val="auto"/>
        </w:rPr>
      </w:pPr>
    </w:p>
    <w:p>
      <w:pPr>
        <w:jc w:val="both"/>
        <w:ind w:firstLine="322"/>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Statements of Income and Comprehensive Income.</w:t>
      </w:r>
    </w:p>
    <w:p>
      <w:pPr>
        <w:spacing w:after="0" w:line="207" w:lineRule="exact"/>
        <w:rPr>
          <w:sz w:val="20"/>
          <w:szCs w:val="20"/>
          <w:color w:val="auto"/>
        </w:rPr>
      </w:pPr>
    </w:p>
    <w:p>
      <w:pPr>
        <w:jc w:val="both"/>
        <w:ind w:firstLine="214"/>
        <w:spacing w:after="0" w:line="282" w:lineRule="auto"/>
        <w:rPr>
          <w:sz w:val="20"/>
          <w:szCs w:val="20"/>
          <w:color w:val="auto"/>
        </w:rPr>
      </w:pPr>
      <w:r>
        <w:rPr>
          <w:rFonts w:ascii="Times New Roman" w:cs="Times New Roman" w:eastAsia="Times New Roman" w:hAnsi="Times New Roman"/>
          <w:sz w:val="18"/>
          <w:szCs w:val="18"/>
          <w:color w:val="auto"/>
        </w:rPr>
        <w:t>Revenues from transactions with external customers for each of the Company’s products would be impracticable to disclose and management does not view its business by product line. For revenue disaggregated by geographic area and brand refer to Note 15, Segment and Customer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8"/>
          <w:szCs w:val="18"/>
          <w:color w:val="auto"/>
        </w:rPr>
        <w:t xml:space="preserve">Shipping and handling costs include costs paid to third-party warehouse operators associated with delivering product to customers and depreciation and amortization of assets at the third-party warehouse. Shipping and handling costs are recognized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Costs relating to products shipped to customers were $91.7 million, $66.5 million, and $49.8 million for the fifty-two weeks ended August 27, 2022, August 28, 2021, and August 29,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 xml:space="preserve">Production costs related to television commercials are expensed when first aired. All other advertising costs are expensed when incurred or when the advertising service is received through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Total advertising costs were $84.3 million, $74.9 million, and $55.3 million for the fifty-two weeks ended August 27, 2022, August 28, 2021, and August 29, 2020, respectively.</w:t>
      </w:r>
    </w:p>
    <w:p>
      <w:pPr>
        <w:spacing w:after="0" w:line="201" w:lineRule="exact"/>
        <w:rPr>
          <w:sz w:val="20"/>
          <w:szCs w:val="20"/>
          <w:color w:val="auto"/>
        </w:rPr>
      </w:pPr>
    </w:p>
    <w:p>
      <w:pPr>
        <w:jc w:val="both"/>
        <w:ind w:firstLine="189"/>
        <w:spacing w:after="0" w:line="267" w:lineRule="auto"/>
        <w:rPr>
          <w:sz w:val="20"/>
          <w:szCs w:val="20"/>
          <w:color w:val="auto"/>
        </w:rPr>
      </w:pPr>
      <w:r>
        <w:rPr>
          <w:rFonts w:ascii="Times New Roman" w:cs="Times New Roman" w:eastAsia="Times New Roman" w:hAnsi="Times New Roman"/>
          <w:sz w:val="18"/>
          <w:szCs w:val="18"/>
          <w:color w:val="auto"/>
        </w:rPr>
        <w:t xml:space="preserve">Production costs related to television commercials not yet aired and prepaid advertising services not yet received are included in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in the accompanying Consolidated Balance Sheets. As of August 27, 2022 and August 28, 2021, total prepaid advertising expenses were $2.0 million and $1.6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56"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The Company’s total research and development expenses were $4.1 million, $3.5 million, and $4.0 million for the fifty-two weeks ended August 27, 2022, August 28, 2021, and August 29,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share-based compensation, including stock options, restricted stock units, performance stock units, and stock appreciation rights, to provide long-term performance incentives for its employees, directors, and consultants of the Company. Share-based compensation is recognized on a straight-line basis over the requisite service period of the award based on their grant-date fair value. Forfeitures are recognized as they occur. Share-based compensation expense is included in </w:t>
      </w:r>
      <w:r>
        <w:rPr>
          <w:rFonts w:ascii="Times New Roman" w:cs="Times New Roman" w:eastAsia="Times New Roman" w:hAnsi="Times New Roman"/>
          <w:sz w:val="18"/>
          <w:szCs w:val="18"/>
          <w:i w:val="1"/>
          <w:iCs w:val="1"/>
          <w:color w:val="auto"/>
        </w:rPr>
        <w:t>General and administrative.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56"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$1.1 million, $1.4 million, and $1.3 million for the fifty-two weeks ended August 27, 2022, August 28, 2021, and August 29,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Times New Roman" w:cs="Times New Roman" w:eastAsia="Times New Roman" w:hAnsi="Times New Roman"/>
          <w:sz w:val="18"/>
          <w:szCs w:val="18"/>
          <w:i w:val="1"/>
          <w:iCs w:val="1"/>
          <w:color w:val="auto"/>
        </w:rPr>
        <w:t>Other comprehensive income</w:t>
      </w:r>
      <w:r>
        <w:rPr>
          <w:rFonts w:ascii="Times New Roman" w:cs="Times New Roman" w:eastAsia="Times New Roman" w:hAnsi="Times New Roman"/>
          <w:sz w:val="18"/>
          <w:szCs w:val="18"/>
          <w:color w:val="auto"/>
        </w:rPr>
        <w:t xml:space="preserve">. Gains or losses resulting from transactions in foreign currencies are included 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7,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amends existing guidance related to the accounting for income taxes. This ASU was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Company adopted this ASU as of the first day of fiscal year 2022. The adoption of this ASU did not have a material effect on the consolidated financial statements.</w:t>
      </w:r>
    </w:p>
    <w:p>
      <w:pPr>
        <w:spacing w:after="0" w:line="21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which provided updates for technical corrections, clarifications to guidance, simplifications to wording or structure of guidance, and other minor improvements across various areas of accounting within GAAP. The Company adopted this ASU as of the first day of fiscal year 2022 on a prospective basis. The adoption of this ASU did not have a material effect on the consolidated financial statements.</w:t>
      </w:r>
    </w:p>
    <w:p>
      <w:pPr>
        <w:spacing w:after="0" w:line="207" w:lineRule="exact"/>
        <w:rPr>
          <w:sz w:val="20"/>
          <w:szCs w:val="20"/>
          <w:color w:val="auto"/>
        </w:rPr>
      </w:pPr>
    </w:p>
    <w:p>
      <w:pPr>
        <w:jc w:val="both"/>
        <w:ind w:firstLine="278"/>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217"/>
        <w:spacing w:after="0" w:line="261" w:lineRule="auto"/>
        <w:rPr>
          <w:sz w:val="20"/>
          <w:szCs w:val="20"/>
          <w:color w:val="auto"/>
        </w:rPr>
      </w:pPr>
      <w:r>
        <w:rPr>
          <w:rFonts w:ascii="Times New Roman" w:cs="Times New Roman" w:eastAsia="Times New Roman" w:hAnsi="Times New Roman"/>
          <w:sz w:val="18"/>
          <w:szCs w:val="18"/>
          <w:color w:val="auto"/>
        </w:rPr>
        <w:t>On August 21, 2019, Simply Good USA entered into the Purchase Agreement to acquire Quest. On November 7, 2019, Simply Good USA completed the Quest Acquisition for a cash purchase price at closing of $988.9 million subject to customary post-closing</w:t>
      </w:r>
    </w:p>
    <w:p>
      <w:pPr>
        <w:jc w:val="both"/>
        <w:spacing w:after="0" w:line="253" w:lineRule="auto"/>
        <w:rPr>
          <w:sz w:val="20"/>
          <w:szCs w:val="20"/>
          <w:color w:val="auto"/>
        </w:rPr>
      </w:pPr>
      <w:r>
        <w:rPr>
          <w:rFonts w:ascii="Times New Roman" w:cs="Times New Roman" w:eastAsia="Times New Roman" w:hAnsi="Times New Roman"/>
          <w:sz w:val="18"/>
          <w:szCs w:val="18"/>
          <w:color w:val="auto"/>
        </w:rPr>
        <w:t>adjustments. 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216" w:lineRule="exact"/>
        <w:rPr>
          <w:sz w:val="20"/>
          <w:szCs w:val="20"/>
          <w:color w:val="auto"/>
        </w:rPr>
      </w:pPr>
    </w:p>
    <w:p>
      <w:pPr>
        <w:jc w:val="both"/>
        <w:ind w:firstLine="222"/>
        <w:spacing w:after="0" w:line="254" w:lineRule="auto"/>
        <w:rPr>
          <w:sz w:val="20"/>
          <w:szCs w:val="20"/>
          <w:color w:val="auto"/>
        </w:rPr>
      </w:pPr>
      <w:r>
        <w:rPr>
          <w:rFonts w:ascii="Times New Roman" w:cs="Times New Roman" w:eastAsia="Times New Roman" w:hAnsi="Times New Roman"/>
          <w:sz w:val="18"/>
          <w:szCs w:val="18"/>
          <w:color w:val="auto"/>
        </w:rPr>
        <w:t xml:space="preserve">The Quest Acquisition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the Company received a post-closing release from escrow of approximately $2.1 million related to net working capital adjustments, resulting in a total net consideration paid of $986.8 million.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 costs </w:t>
      </w:r>
      <w:r>
        <w:rPr>
          <w:rFonts w:ascii="Times New Roman" w:cs="Times New Roman" w:eastAsia="Times New Roman" w:hAnsi="Times New Roman"/>
          <w:sz w:val="18"/>
          <w:szCs w:val="18"/>
          <w:color w:val="auto"/>
        </w:rPr>
        <w:t>within the Consolidated Statements of Income and Comprehensive Income for the fifty-two weeks ended August 29, 2020 was $27.1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included $14.5 million of transaction advisory fees related to the Quest Acquisition, $3.2 million of banker commitment fees, $6.1 million of non-deferrable debt issuance costs related to the incremental term loan, and $3.3 million of other costs, including legal, due diligence, and accounting fees.</w:t>
      </w:r>
    </w:p>
    <w:p>
      <w:pPr>
        <w:spacing w:after="0" w:line="219" w:lineRule="exact"/>
        <w:rPr>
          <w:sz w:val="20"/>
          <w:szCs w:val="20"/>
          <w:color w:val="auto"/>
        </w:rPr>
      </w:pPr>
    </w:p>
    <w:p>
      <w:pPr>
        <w:jc w:val="both"/>
        <w:ind w:firstLine="190"/>
        <w:spacing w:after="0" w:line="255" w:lineRule="auto"/>
        <w:rPr>
          <w:sz w:val="20"/>
          <w:szCs w:val="20"/>
          <w:color w:val="auto"/>
        </w:rPr>
      </w:pPr>
      <w:r>
        <w:rPr>
          <w:rFonts w:ascii="Times New Roman" w:cs="Times New Roman" w:eastAsia="Times New Roman" w:hAnsi="Times New Roman"/>
          <w:sz w:val="18"/>
          <w:szCs w:val="18"/>
          <w:color w:val="auto"/>
        </w:rPr>
        <w:t>Included in the transaction advisory fees paid for the Quest Acquisition was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represents approximately 1.2% of the total cash purchase price paid by the Company on the closing date of the Quest Acquisition. All transaction advisory fees relating to the Quest Acquisition were approved by the Company’s Audit Committee.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18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final purchase price allocation of the Quest Acquisition to the estimated fair value of the net assets acquired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148590</wp:posOffset>
            </wp:positionV>
            <wp:extent cx="324866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48660" cy="171450"/>
                    </a:xfrm>
                    <a:prstGeom prst="rect">
                      <a:avLst/>
                    </a:prstGeom>
                    <a:noFill/>
                  </pic:spPr>
                </pic:pic>
              </a:graphicData>
            </a:graphic>
          </wp:anchor>
        </w:drawing>
      </w:r>
    </w:p>
    <w:p>
      <w:pPr>
        <w:spacing w:after="0" w:line="26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color w:val="auto"/>
        </w:rPr>
        <w:t>Assets acquired:</w:t>
      </w:r>
    </w:p>
    <w:p>
      <w:pPr>
        <w:spacing w:after="0" w:line="86" w:lineRule="exact"/>
        <w:rPr>
          <w:sz w:val="20"/>
          <w:szCs w:val="20"/>
          <w:color w:val="auto"/>
        </w:rPr>
      </w:pPr>
    </w:p>
    <w:tbl>
      <w:tblPr>
        <w:tblLayout w:type="fixed"/>
        <w:tblInd w:w="3080" w:type="dxa"/>
        <w:tblCellMar>
          <w:top w:w="0" w:type="dxa"/>
          <w:left w:w="0" w:type="dxa"/>
          <w:bottom w:w="0" w:type="dxa"/>
          <w:right w:w="0" w:type="dxa"/>
        </w:tblCellMar>
      </w:tblPr>
      <w:tr>
        <w:trPr>
          <w:trHeight w:val="213"/>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7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25,359</w:t>
            </w:r>
          </w:p>
        </w:tc>
      </w:tr>
      <w:tr>
        <w:trPr>
          <w:trHeight w:val="267"/>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44,032</w:t>
            </w:r>
          </w:p>
        </w:tc>
      </w:tr>
      <w:tr>
        <w:trPr>
          <w:trHeight w:val="27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assets</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67"/>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r>
      <w:tr>
        <w:trPr>
          <w:trHeight w:val="27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Property and equipment, net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w:t>
            </w:r>
          </w:p>
        </w:tc>
      </w:tr>
      <w:tr>
        <w:trPr>
          <w:trHeight w:val="270"/>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Intangible assets, net </w:t>
            </w:r>
            <w:r>
              <w:rPr>
                <w:rFonts w:ascii="Times New Roman" w:cs="Times New Roman" w:eastAsia="Times New Roman" w:hAnsi="Times New Roman"/>
                <w:sz w:val="21"/>
                <w:szCs w:val="21"/>
                <w:color w:val="auto"/>
                <w:vertAlign w:val="superscript"/>
              </w:rPr>
              <w:t>(2)</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868,375</w:t>
            </w:r>
          </w:p>
        </w:tc>
      </w:tr>
      <w:tr>
        <w:trPr>
          <w:trHeight w:val="270"/>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20,997</w:t>
            </w:r>
          </w:p>
        </w:tc>
      </w:tr>
      <w:tr>
        <w:trPr>
          <w:trHeight w:val="267"/>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25,200</w:t>
            </w:r>
          </w:p>
        </w:tc>
      </w:tr>
      <w:tr>
        <w:trPr>
          <w:trHeight w:val="267"/>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11,237</w:t>
            </w:r>
          </w:p>
        </w:tc>
      </w:tr>
      <w:tr>
        <w:trPr>
          <w:trHeight w:val="27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Deferred income taxes </w:t>
            </w:r>
            <w:r>
              <w:rPr>
                <w:rFonts w:ascii="Times New Roman" w:cs="Times New Roman" w:eastAsia="Times New Roman" w:hAnsi="Times New Roman"/>
                <w:sz w:val="21"/>
                <w:szCs w:val="21"/>
                <w:color w:val="auto"/>
                <w:vertAlign w:val="superscript"/>
              </w:rPr>
              <w:t>(3)</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w:t>
            </w:r>
          </w:p>
        </w:tc>
      </w:tr>
      <w:tr>
        <w:trPr>
          <w:trHeight w:val="267"/>
        </w:trPr>
        <w:tc>
          <w:tcPr>
            <w:tcW w:w="3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18,891</w:t>
            </w:r>
          </w:p>
        </w:tc>
      </w:tr>
      <w:tr>
        <w:trPr>
          <w:trHeight w:val="25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912,295</w:t>
            </w:r>
          </w:p>
        </w:tc>
      </w:tr>
      <w:tr>
        <w:trPr>
          <w:trHeight w:val="270"/>
        </w:trPr>
        <w:tc>
          <w:tcPr>
            <w:tcW w:w="3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(4)</w:t>
            </w: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74,525</w:t>
            </w:r>
          </w:p>
        </w:tc>
      </w:tr>
      <w:tr>
        <w:trPr>
          <w:trHeight w:val="248"/>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986,820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left="500" w:hanging="330"/>
        <w:spacing w:after="0" w:line="231" w:lineRule="auto"/>
        <w:tabs>
          <w:tab w:leader="none" w:pos="45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Property and equipment, net primarily consisted of leasehold improvements for the Quest headquarters of $6.9 million, furniture and fixtures of $2.2 million, and equipment of $0.7 million. The Quest headquarters lease ends in April 2029. The useful lives of the leasehold improvements, furniture and fixtures, and equipment are consistent with the Company’s accounting policies.</w:t>
      </w:r>
    </w:p>
    <w:p>
      <w:pPr>
        <w:spacing w:after="0" w:line="101" w:lineRule="exact"/>
        <w:rPr>
          <w:rFonts w:ascii="Times New Roman" w:cs="Times New Roman" w:eastAsia="Times New Roman" w:hAnsi="Times New Roman"/>
          <w:sz w:val="21"/>
          <w:szCs w:val="21"/>
          <w:color w:val="auto"/>
          <w:vertAlign w:val="superscript"/>
        </w:rPr>
      </w:pPr>
    </w:p>
    <w:p>
      <w:pPr>
        <w:ind w:left="500" w:hanging="330"/>
        <w:spacing w:after="0" w:line="247" w:lineRule="auto"/>
        <w:tabs>
          <w:tab w:leader="none" w:pos="417"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Intangible assets were recorded at fair value consistent with ASC Topic 820, Fair Value Measurement, as a result of the Quest Acquisition. Intangible assets consisted of $750.0 million of indefinite brands and trademarks, $115.0 million of amortizable customer relationships, and $3.4 million of internally developed software. The useful lives of the intangible assets are disclosed in Note 5 of the Consolidated Financial Statements. The fair value measurements of the assets and liabilities were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55" w:lineRule="exact"/>
        <w:rPr>
          <w:rFonts w:ascii="Times New Roman" w:cs="Times New Roman" w:eastAsia="Times New Roman" w:hAnsi="Times New Roman"/>
          <w:sz w:val="21"/>
          <w:szCs w:val="21"/>
          <w:color w:val="auto"/>
          <w:vertAlign w:val="superscript"/>
        </w:rPr>
      </w:pPr>
    </w:p>
    <w:p>
      <w:pPr>
        <w:ind w:left="400" w:hanging="230"/>
        <w:spacing w:after="0"/>
        <w:tabs>
          <w:tab w:leader="none" w:pos="40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$10.8 million.</w:t>
      </w:r>
    </w:p>
    <w:p>
      <w:pPr>
        <w:spacing w:after="0" w:line="86" w:lineRule="exact"/>
        <w:rPr>
          <w:rFonts w:ascii="Times New Roman" w:cs="Times New Roman" w:eastAsia="Times New Roman" w:hAnsi="Times New Roman"/>
          <w:sz w:val="21"/>
          <w:szCs w:val="21"/>
          <w:color w:val="auto"/>
          <w:vertAlign w:val="superscript"/>
        </w:rPr>
      </w:pPr>
    </w:p>
    <w:p>
      <w:pPr>
        <w:ind w:left="500" w:hanging="330"/>
        <w:spacing w:after="0" w:line="244" w:lineRule="auto"/>
        <w:tabs>
          <w:tab w:leader="none" w:pos="444"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was recorded at fair value consistent with ASC Topic 820, Fair Value Measurement, as a result of the Quest Acquisition.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was estimated to be $67.7 million. Goodwill represents the future economic benefits arising from other assets acquired that could not be individually identified and separately recognized.</w:t>
      </w:r>
    </w:p>
    <w:p>
      <w:pPr>
        <w:spacing w:after="0" w:line="215" w:lineRule="exact"/>
        <w:rPr>
          <w:sz w:val="20"/>
          <w:szCs w:val="20"/>
          <w:color w:val="auto"/>
        </w:rPr>
      </w:pPr>
    </w:p>
    <w:p>
      <w:pPr>
        <w:jc w:val="both"/>
        <w:ind w:firstLine="195"/>
        <w:spacing w:after="0" w:line="253" w:lineRule="auto"/>
        <w:rPr>
          <w:sz w:val="20"/>
          <w:szCs w:val="20"/>
          <w:color w:val="auto"/>
        </w:rPr>
      </w:pPr>
      <w:r>
        <w:rPr>
          <w:rFonts w:ascii="Times New Roman" w:cs="Times New Roman" w:eastAsia="Times New Roman" w:hAnsi="Times New Roman"/>
          <w:sz w:val="18"/>
          <w:szCs w:val="18"/>
          <w:color w:val="auto"/>
        </w:rPr>
        <w:t>The Company completed its final assessment of purchase price allocation for the Quest Acquisition to the estimated fair value of the net assets acquired at the date of acquisition during the first quarter of fiscal 2021. Since the initial preliminary estimates reported in the first fiscal quarter of 2020, the Company updated certain amounts reflected in the final purchase price allocation, as summarized in the fair values of assets acquired and liabilities assumed in the table above. Specifically, the carrying amount of the intangible assets, net increased by $20.0 million as a result of valuation adjustments related to the Company’s finalization of tax attributes, which also resulted in a decrease to deferred income taxes of $3.2 million. Additionally, accounts receivable, net decreased $4.3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decreased $21.5 million. Measurement period adjustments were recognized in the reporting period in which the adjustments were determined and calculated as if the accounting had been completed at the acquisition date.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8"/>
          <w:szCs w:val="18"/>
          <w:color w:val="auto"/>
        </w:rPr>
        <w:t>The results of Quest’s operations have been included in the Company’s consolidated financial statements since November 7, 2019, the date of acquisition. The following table provides net sales from the acquired Quest business included in the Company’s results:</w:t>
      </w:r>
    </w:p>
    <w:p>
      <w:pPr>
        <w:spacing w:after="0" w:line="382" w:lineRule="exact"/>
        <w:rPr>
          <w:sz w:val="20"/>
          <w:szCs w:val="20"/>
          <w:color w:val="auto"/>
        </w:rPr>
      </w:pPr>
    </w:p>
    <w:tbl>
      <w:tblPr>
        <w:tblLayout w:type="fixed"/>
        <w:tblInd w:w="30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286,803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43"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Quest Acquisition been completed at the beginning of the fiscal year 2019, nor is it representative of future operating results of the Company.</w:t>
      </w:r>
    </w:p>
    <w:p>
      <w:pPr>
        <w:spacing w:after="0" w:line="203"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and Quest as if the Quest Acquisition had occurred at the beginning of fiscal 2019:</w:t>
      </w:r>
    </w:p>
    <w:p>
      <w:pPr>
        <w:spacing w:after="0" w:line="288" w:lineRule="exact"/>
        <w:rPr>
          <w:sz w:val="20"/>
          <w:szCs w:val="20"/>
          <w:color w:val="auto"/>
        </w:rPr>
      </w:pPr>
    </w:p>
    <w:tbl>
      <w:tblPr>
        <w:tblLayout w:type="fixed"/>
        <w:tblInd w:w="308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885,044</w:t>
            </w:r>
          </w:p>
        </w:tc>
      </w:tr>
      <w:tr>
        <w:trPr>
          <w:trHeight w:val="267"/>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355,395</w:t>
            </w:r>
          </w:p>
        </w:tc>
      </w:tr>
      <w:tr>
        <w:trPr>
          <w:trHeight w:val="27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90,028</w:t>
            </w:r>
          </w:p>
        </w:tc>
      </w:tr>
    </w:tbl>
    <w:p>
      <w:pPr>
        <w:spacing w:after="0" w:line="302"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5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as presented with the Consolidated Balance Sheets, is summarized as follows:</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right-of-use-assets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67"/>
        </w:trPr>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w:t>
            </w:r>
          </w:p>
        </w:tc>
      </w:tr>
      <w:tr>
        <w:trPr>
          <w:trHeight w:val="267"/>
        </w:trPr>
        <w:tc>
          <w:tcPr>
            <w:tcW w:w="3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(5,136)</w:t>
            </w:r>
          </w:p>
        </w:tc>
      </w:tr>
      <w:tr>
        <w:trPr>
          <w:trHeight w:val="251"/>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181"/>
        <w:spacing w:after="0" w:line="282" w:lineRule="auto"/>
        <w:rPr>
          <w:sz w:val="20"/>
          <w:szCs w:val="20"/>
          <w:color w:val="auto"/>
        </w:rPr>
      </w:pPr>
      <w:r>
        <w:rPr>
          <w:rFonts w:ascii="Times New Roman" w:cs="Times New Roman" w:eastAsia="Times New Roman" w:hAnsi="Times New Roman"/>
          <w:sz w:val="18"/>
          <w:szCs w:val="18"/>
          <w:color w:val="auto"/>
        </w:rPr>
        <w:t>Total depreciation expense was $3.2 million for the fifty-two weeks ended August 27, 2022, $2.3 million for the fifty-two weeks ended August 28, 2021, and $1.8 million for the fifty-two weeks ended August 29, 2020.</w:t>
      </w:r>
    </w:p>
    <w:p>
      <w:pPr>
        <w:spacing w:after="0" w:line="18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5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Changes to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during the fifty-two weeks ended August 27, 2022 and the fifty-two weeks ended August 28, 2021 were as follows:</w:t>
      </w:r>
    </w:p>
    <w:p>
      <w:pPr>
        <w:spacing w:after="0" w:line="351" w:lineRule="exact"/>
        <w:rPr>
          <w:sz w:val="20"/>
          <w:szCs w:val="20"/>
          <w:color w:val="auto"/>
        </w:rPr>
      </w:pPr>
    </w:p>
    <w:tbl>
      <w:tblPr>
        <w:tblLayout w:type="fixed"/>
        <w:tblInd w:w="2900" w:type="dxa"/>
        <w:tblCellMar>
          <w:top w:w="0" w:type="dxa"/>
          <w:left w:w="0" w:type="dxa"/>
          <w:bottom w:w="0" w:type="dxa"/>
          <w:right w:w="0" w:type="dxa"/>
        </w:tblCellMar>
      </w:tblPr>
      <w:tr>
        <w:trPr>
          <w:trHeight w:val="215"/>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Goodwill</w:t>
            </w:r>
          </w:p>
        </w:tc>
        <w:tc>
          <w:tcPr>
            <w:tcW w:w="0" w:type="dxa"/>
            <w:vAlign w:val="bottom"/>
          </w:tcPr>
          <w:p>
            <w:pPr>
              <w:spacing w:after="0"/>
              <w:rPr>
                <w:sz w:val="1"/>
                <w:szCs w:val="1"/>
                <w:color w:val="auto"/>
              </w:rPr>
            </w:pPr>
          </w:p>
        </w:tc>
      </w:tr>
      <w:tr>
        <w:trPr>
          <w:trHeight w:val="251"/>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29, 2020</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544,774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2"/>
            <w:vMerge w:val="restart"/>
          </w:tcPr>
          <w:p>
            <w:pPr>
              <w:ind w:left="120"/>
              <w:spacing w:after="0" w:line="149" w:lineRule="exact"/>
              <w:rPr>
                <w:sz w:val="20"/>
                <w:szCs w:val="20"/>
                <w:color w:val="auto"/>
              </w:rPr>
            </w:pPr>
            <w:r>
              <w:rPr>
                <w:rFonts w:ascii="Times New Roman" w:cs="Times New Roman" w:eastAsia="Times New Roman" w:hAnsi="Times New Roman"/>
                <w:sz w:val="16"/>
                <w:szCs w:val="16"/>
                <w:color w:val="auto"/>
              </w:rPr>
              <w:t>Acquisition of business measurement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213"/>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0" w:type="dxa"/>
            <w:vAlign w:val="bottom"/>
          </w:tcPr>
          <w:p>
            <w:pPr>
              <w:spacing w:after="0"/>
              <w:rPr>
                <w:sz w:val="1"/>
                <w:szCs w:val="1"/>
                <w:color w:val="auto"/>
              </w:rPr>
            </w:pPr>
          </w:p>
        </w:tc>
      </w:tr>
      <w:tr>
        <w:trPr>
          <w:trHeight w:val="226"/>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August 28, 2021</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27, 2022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8"/>
          <w:szCs w:val="18"/>
          <w:color w:val="auto"/>
        </w:rPr>
        <w:t xml:space="preserve">The change in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attributed to the acquisition of a business during the fifty-two weeks ended August 28, 2021 was the result of subsequent measurement period adjustments made to finalize the acquisition method of accounting for the Quest Acquisition as described in Note 3, Business Combination. Additionally, effective September 24, 2020, the Company sold the assets exclusively related to its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In conjunction with the SimplyProtein Sale, the Company disposed of $2.8 million of goodwill associated with the SimplyProtein business.</w:t>
      </w:r>
    </w:p>
    <w:p>
      <w:pPr>
        <w:spacing w:after="0" w:line="214"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substantially completed its efforts to fully integrate its operations and organization structure after the Quest Acquisition. The Company aligned the nature of its production processes and the methods used to distribute products to customers for the Atkins® and Quest® brands. The Company also designed its organizational structure to support entity-wide business functions across brands, products, customers, and geographic regions. Additionally, the Company’s chief operating decision maker reviews operating results and forecasts at the consolidated level. As a result, the Company determined its operations are organized into one, consolidated operating segment and reporting unit. Previously, during the fifty-two weeks ended August 28, 2021 and August 29, 2020, the Company had two reporting units which were its operating segments, Atkins and Quest.</w:t>
      </w:r>
    </w:p>
    <w:p>
      <w:pPr>
        <w:spacing w:after="0" w:line="216" w:lineRule="exact"/>
        <w:rPr>
          <w:sz w:val="20"/>
          <w:szCs w:val="20"/>
          <w:color w:val="auto"/>
        </w:rPr>
      </w:pPr>
    </w:p>
    <w:p>
      <w:pPr>
        <w:jc w:val="both"/>
        <w:ind w:firstLine="325"/>
        <w:spacing w:after="0" w:line="261" w:lineRule="auto"/>
        <w:rPr>
          <w:sz w:val="20"/>
          <w:szCs w:val="20"/>
          <w:color w:val="auto"/>
        </w:rPr>
      </w:pPr>
      <w:r>
        <w:rPr>
          <w:rFonts w:ascii="Times New Roman" w:cs="Times New Roman" w:eastAsia="Times New Roman" w:hAnsi="Times New Roman"/>
          <w:sz w:val="18"/>
          <w:szCs w:val="18"/>
          <w:color w:val="auto"/>
        </w:rPr>
        <w:t>For fiscal year 2022, the Company performed a qualitative goodwill impairment assessment for its consolidated reporting unit. The qualitative assessment did not identify indicators of impairment, and it was determined that it was more likely than not the reporting unit had a fair value in excess of its carrying value. Accordingly, no further impairment assessment was necessary, and the Company determined its reporting unit was not impaired. There were no impairment charges related to goodwill in the fifty-two weeks ended August 27, 2022 or since the inception of the Company.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 of the following:</w:t>
      </w:r>
    </w:p>
    <w:p>
      <w:pPr>
        <w:spacing w:after="0" w:line="353"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August 27, 2022</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gridSpan w:val="2"/>
            <w:vMerge w:val="restart"/>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vMerge w:val="restart"/>
          </w:tcPr>
          <w:p>
            <w:pPr>
              <w:jc w:val="center"/>
              <w:ind w:right="319"/>
              <w:spacing w:after="0"/>
              <w:rPr>
                <w:sz w:val="20"/>
                <w:szCs w:val="20"/>
                <w:color w:val="auto"/>
              </w:rPr>
            </w:pPr>
            <w:r>
              <w:rPr>
                <w:rFonts w:ascii="Times New Roman" w:cs="Times New Roman" w:eastAsia="Times New Roman" w:hAnsi="Times New Roman"/>
                <w:sz w:val="16"/>
                <w:szCs w:val="16"/>
                <w:color w:val="auto"/>
                <w:w w:val="99"/>
              </w:rPr>
              <w:t>Useful life</w:t>
            </w:r>
          </w:p>
        </w:tc>
        <w:tc>
          <w:tcPr>
            <w:tcW w:w="12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color w:val="auto"/>
              </w:rPr>
              <w:t>Gross carrying</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4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8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gridSpan w:val="2"/>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rPr>
              <w:t>Indefinite life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974,000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3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380" w:type="dxa"/>
            <w:vAlign w:val="bottom"/>
          </w:tcPr>
          <w:p>
            <w:pPr>
              <w:spacing w:after="0"/>
              <w:rPr>
                <w:sz w:val="23"/>
                <w:szCs w:val="23"/>
                <w:color w:val="auto"/>
              </w:rPr>
            </w:pPr>
          </w:p>
        </w:tc>
        <w:tc>
          <w:tcPr>
            <w:tcW w:w="128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color w:val="auto"/>
              </w:rPr>
              <w:t>15 years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132,297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3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380" w:type="dxa"/>
            <w:vAlign w:val="bottom"/>
            <w:shd w:val="clear" w:color="auto" w:fill="CCEEFF"/>
          </w:tcPr>
          <w:p>
            <w:pPr>
              <w:spacing w:after="0"/>
              <w:rPr>
                <w:sz w:val="23"/>
                <w:szCs w:val="23"/>
                <w:color w:val="auto"/>
              </w:rPr>
            </w:pPr>
          </w:p>
        </w:tc>
        <w:tc>
          <w:tcPr>
            <w:tcW w:w="1280" w:type="dxa"/>
            <w:vAlign w:val="bottom"/>
            <w:gridSpan w:val="4"/>
            <w:shd w:val="clear" w:color="auto" w:fill="CCEEFF"/>
          </w:tcPr>
          <w:p>
            <w:pPr>
              <w:jc w:val="center"/>
              <w:ind w:right="540"/>
              <w:spacing w:after="0"/>
              <w:rPr>
                <w:sz w:val="20"/>
                <w:szCs w:val="20"/>
                <w:color w:val="auto"/>
              </w:rPr>
            </w:pPr>
            <w:r>
              <w:rPr>
                <w:rFonts w:ascii="Times New Roman" w:cs="Times New Roman" w:eastAsia="Times New Roman" w:hAnsi="Times New Roman"/>
                <w:sz w:val="16"/>
                <w:szCs w:val="16"/>
                <w:color w:val="auto"/>
              </w:rPr>
              <w:t>13 years</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380" w:type="dxa"/>
            <w:vAlign w:val="bottom"/>
          </w:tcPr>
          <w:p>
            <w:pPr>
              <w:spacing w:after="0"/>
              <w:rPr>
                <w:sz w:val="23"/>
                <w:szCs w:val="23"/>
                <w:color w:val="auto"/>
              </w:rPr>
            </w:pPr>
          </w:p>
        </w:tc>
        <w:tc>
          <w:tcPr>
            <w:tcW w:w="128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color w:val="auto"/>
              </w:rPr>
              <w:t>7 years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 years</w:t>
            </w: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59,605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1,123,258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5"/>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August 28, 2021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rPr>
              <w:t>Useful life</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Gross carrying</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40" w:type="dxa"/>
            <w:vAlign w:val="bottom"/>
          </w:tcPr>
          <w:p>
            <w:pPr>
              <w:spacing w:after="0"/>
              <w:rPr>
                <w:sz w:val="13"/>
                <w:szCs w:val="13"/>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 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Brands and trademarks</w:t>
            </w: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rPr>
              <w:t>Indefinite life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3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Customer relationships</w:t>
            </w:r>
          </w:p>
        </w:tc>
        <w:tc>
          <w:tcPr>
            <w:tcW w:w="380" w:type="dxa"/>
            <w:vAlign w:val="bottom"/>
          </w:tcPr>
          <w:p>
            <w:pPr>
              <w:spacing w:after="0"/>
              <w:rPr>
                <w:sz w:val="23"/>
                <w:szCs w:val="23"/>
                <w:color w:val="auto"/>
              </w:rPr>
            </w:pPr>
          </w:p>
        </w:tc>
        <w:tc>
          <w:tcPr>
            <w:tcW w:w="128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color w:val="auto"/>
              </w:rPr>
              <w:t>15 years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33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Licensing agreements</w:t>
            </w:r>
          </w:p>
        </w:tc>
        <w:tc>
          <w:tcPr>
            <w:tcW w:w="380" w:type="dxa"/>
            <w:vAlign w:val="bottom"/>
            <w:shd w:val="clear" w:color="auto" w:fill="CCEEFF"/>
          </w:tcPr>
          <w:p>
            <w:pPr>
              <w:spacing w:after="0"/>
              <w:rPr>
                <w:sz w:val="23"/>
                <w:szCs w:val="23"/>
                <w:color w:val="auto"/>
              </w:rPr>
            </w:pPr>
          </w:p>
        </w:tc>
        <w:tc>
          <w:tcPr>
            <w:tcW w:w="1280" w:type="dxa"/>
            <w:vAlign w:val="bottom"/>
            <w:gridSpan w:val="4"/>
            <w:shd w:val="clear" w:color="auto" w:fill="CCEEFF"/>
          </w:tcPr>
          <w:p>
            <w:pPr>
              <w:jc w:val="center"/>
              <w:ind w:right="500"/>
              <w:spacing w:after="0"/>
              <w:rPr>
                <w:sz w:val="20"/>
                <w:szCs w:val="20"/>
                <w:color w:val="auto"/>
              </w:rPr>
            </w:pPr>
            <w:r>
              <w:rPr>
                <w:rFonts w:ascii="Times New Roman" w:cs="Times New Roman" w:eastAsia="Times New Roman" w:hAnsi="Times New Roman"/>
                <w:sz w:val="16"/>
                <w:szCs w:val="16"/>
                <w:color w:val="auto"/>
              </w:rPr>
              <w:t>13 years</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3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380" w:type="dxa"/>
            <w:vAlign w:val="bottom"/>
          </w:tcPr>
          <w:p>
            <w:pPr>
              <w:spacing w:after="0"/>
              <w:rPr>
                <w:sz w:val="23"/>
                <w:szCs w:val="23"/>
                <w:color w:val="auto"/>
              </w:rPr>
            </w:pPr>
          </w:p>
        </w:tc>
        <w:tc>
          <w:tcPr>
            <w:tcW w:w="128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color w:val="auto"/>
              </w:rPr>
              <w:t>7 years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33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 years</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3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Borders>
              <w:bottom w:val="single" w:sz="8" w:color="CCEEFF"/>
            </w:tcBorders>
          </w:tcPr>
          <w:p>
            <w:pPr>
              <w:jc w:val="center"/>
              <w:ind w:lef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5 years</w:t>
            </w: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fifty-two weeks ended August 27, 2022 were primarily related to recurring amortization expense. 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fifty-two weeks ended August 28, 2021 were primarily related to the SimplyProtein Sale and recurring amortization expense. In conjunction with the SimplyProtein Sale, the Company sold its SimplyProtein brand intangible asset, which had a carrying value of approximately $5.0 million as of the date of the sale.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87"/>
        <w:spacing w:after="0" w:line="258"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performed qualitative impairment assessments for its indefinite-lived intangible assets. The qualitative assessments did not identify indicators of impairment, and it was determined that it was more likely than not each indefinite-lived intangible asset had fair values in excess of their carrying values. Accordingly, no further impairment assessment was necessary. There were no impairment charges related to indefinite-lived intangibles recognized in the fifty-two weeks ended August 27, 2022 or August 28, 2021, respectively. There was a $3.0 million loss on impairment of an indefinite-lived intangible related to the SimplyProtein brand in the fifty-two weeks ended August 29, 2020.</w:t>
      </w:r>
    </w:p>
    <w:p>
      <w:pPr>
        <w:spacing w:after="0" w:line="210"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did not identify indicators of impairment related to its finite-lived intangible assets, which are tested for impairment when events or circumstances indicated that the carrying amount may not be recoverable. There were no impairment charges related to the Company’s finite-lived intangible assets in the fifty-two weeks ended August 27, 2022, August 28, 2021, or August 29, 2020, respectively.</w:t>
      </w:r>
    </w:p>
    <w:p>
      <w:pPr>
        <w:spacing w:after="0" w:line="207" w:lineRule="exact"/>
        <w:rPr>
          <w:sz w:val="20"/>
          <w:szCs w:val="20"/>
          <w:color w:val="auto"/>
        </w:rPr>
      </w:pPr>
    </w:p>
    <w:p>
      <w:pPr>
        <w:jc w:val="both"/>
        <w:ind w:firstLine="172"/>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$15.8 million for the fifty-two weeks ended August 27, 2022, $15.6 million for the fifty-two weeks ended August 28, 2021, and $14.0 million for the fifty-two weeks ended August 29, 2020.</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15,658</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14,917</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78,131</w:t>
            </w:r>
          </w:p>
        </w:tc>
      </w:tr>
      <w:tr>
        <w:trPr>
          <w:trHeight w:val="25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149,258</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in the Consolidated Balance Sheets were comprised of the following:</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advertising allowances and claims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bonus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16,689</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freight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payroll-related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commissions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VAT payable</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restructuring</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67"/>
        </w:trPr>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51"/>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53,606</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Long-Term Debt and Line of Credit</w:t>
      </w:r>
    </w:p>
    <w:p>
      <w:pPr>
        <w:spacing w:after="0" w:line="25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203" w:lineRule="exact"/>
        <w:rPr>
          <w:sz w:val="20"/>
          <w:szCs w:val="20"/>
          <w:color w:val="auto"/>
        </w:rPr>
      </w:pPr>
    </w:p>
    <w:p>
      <w:pPr>
        <w:jc w:val="both"/>
        <w:ind w:firstLine="295"/>
        <w:spacing w:after="0" w:line="256"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17" w:lineRule="exact"/>
        <w:rPr>
          <w:sz w:val="20"/>
          <w:szCs w:val="20"/>
          <w:color w:val="auto"/>
        </w:rPr>
      </w:pPr>
    </w:p>
    <w:p>
      <w:pPr>
        <w:jc w:val="both"/>
        <w:ind w:left="660" w:hanging="328"/>
        <w:spacing w:after="0" w:line="266" w:lineRule="auto"/>
        <w:tabs>
          <w:tab w:leader="none" w:pos="6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27, 2022 and August 28, 2021,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August 27, 2022</w:t>
            </w:r>
          </w:p>
        </w:tc>
        <w:tc>
          <w:tcPr>
            <w:tcW w:w="16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158"/>
        </w:trPr>
        <w:tc>
          <w:tcPr>
            <w:tcW w:w="338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Term Facility (effective rate of 6.2% at August</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406,500</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27, 2022)</w:t>
            </w: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5.6% at</w:t>
            </w:r>
          </w:p>
        </w:tc>
        <w:tc>
          <w:tcPr>
            <w:tcW w:w="160" w:type="dxa"/>
            <w:vAlign w:val="bottom"/>
          </w:tcPr>
          <w:p>
            <w:pPr>
              <w:spacing w:after="0"/>
              <w:rPr>
                <w:sz w:val="14"/>
                <w:szCs w:val="14"/>
                <w:color w:val="auto"/>
              </w:rPr>
            </w:pPr>
          </w:p>
        </w:tc>
        <w:tc>
          <w:tcPr>
            <w:tcW w:w="13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August 27, 2022)</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8"/>
          <w:szCs w:val="18"/>
          <w:color w:val="auto"/>
        </w:rPr>
        <w:t>As of August 27, 2022,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August 27, 2022.</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August 27, 2022. The outstanding balance of the Term Facility is due upon its maturity in July 2024.</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August 27, 2022, aggregate principal maturities of debt for each of the next five fiscal years and thereafter are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Principal maturities</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406,642</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406,906</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27, 2022 and August 28, 2021,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Measurements</w:t>
      </w:r>
    </w:p>
    <w:p>
      <w:pPr>
        <w:spacing w:after="0" w:line="254"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Sponsor, LLC (“Conyers Park”), a related party. On January 7, 2022, Conyers Park elected to exercise the Private Warrants in full on a cashless basis, resulting in a net issuance of 4,830,761 shares of the Company’s common stock. As a result of Conyers Park’s election to exercise the Private Warrants, there were no outstanding liability-classified Private Warrants as of August 27, 2022. Refer to Note 12, Stockholders’ Equity, for additional details regarding the cashless exercise of the Private Warrants.</w:t>
      </w:r>
    </w:p>
    <w:p>
      <w:pPr>
        <w:spacing w:after="0" w:line="210"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pacing w:after="0" w:line="216" w:lineRule="exact"/>
        <w:rPr>
          <w:sz w:val="20"/>
          <w:szCs w:val="20"/>
          <w:color w:val="auto"/>
        </w:rPr>
      </w:pPr>
    </w:p>
    <w:p>
      <w:pPr>
        <w:jc w:val="both"/>
        <w:ind w:firstLine="221"/>
        <w:spacing w:after="0" w:line="282" w:lineRule="auto"/>
        <w:rPr>
          <w:sz w:val="20"/>
          <w:szCs w:val="20"/>
          <w:color w:val="auto"/>
        </w:rPr>
      </w:pPr>
      <w:r>
        <w:rPr>
          <w:rFonts w:ascii="Times New Roman" w:cs="Times New Roman" w:eastAsia="Times New Roman" w:hAnsi="Times New Roman"/>
          <w:sz w:val="18"/>
          <w:szCs w:val="18"/>
          <w:color w:val="auto"/>
        </w:rPr>
        <w:t>There were no Private Warrants outstanding as of August 27, 2022. As of August 28, 2021 and August 29, 2020, the Company had 6,700,000 Private Warrants outstanding with a fair value price per Private Warrant of $23.86 and $13.98,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summarizes the inputs used to calculate the fair value of the warrant liability at each of the following reporting dates: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August 28, 2021</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11.50</w:t>
            </w:r>
          </w:p>
        </w:tc>
      </w:tr>
      <w:tr>
        <w:trPr>
          <w:trHeight w:val="26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25.39</w:t>
            </w:r>
          </w:p>
        </w:tc>
      </w:tr>
      <w:tr>
        <w:trPr>
          <w:trHeight w:val="27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6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w:t>
            </w:r>
          </w:p>
        </w:tc>
      </w:tr>
      <w:tr>
        <w:trPr>
          <w:trHeight w:val="27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0.14 %</w:t>
            </w:r>
          </w:p>
        </w:tc>
      </w:tr>
      <w:tr>
        <w:trPr>
          <w:trHeight w:val="26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29.20 %</w:t>
            </w:r>
          </w:p>
        </w:tc>
      </w:tr>
      <w:tr>
        <w:trPr>
          <w:trHeight w:val="27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value of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13.98</w:t>
            </w:r>
          </w:p>
        </w:tc>
      </w:tr>
    </w:tbl>
    <w:p>
      <w:pPr>
        <w:spacing w:after="0" w:line="317" w:lineRule="exact"/>
        <w:rPr>
          <w:sz w:val="20"/>
          <w:szCs w:val="20"/>
          <w:color w:val="auto"/>
        </w:rPr>
      </w:pPr>
    </w:p>
    <w:p>
      <w:pPr>
        <w:jc w:val="both"/>
        <w:ind w:right="20" w:firstLine="220"/>
        <w:spacing w:after="0" w:line="267"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gain in fair value change of warrant liability</w:t>
      </w:r>
      <w:r>
        <w:rPr>
          <w:rFonts w:ascii="Times New Roman" w:cs="Times New Roman" w:eastAsia="Times New Roman" w:hAnsi="Times New Roman"/>
          <w:sz w:val="18"/>
          <w:szCs w:val="18"/>
          <w:color w:val="auto"/>
        </w:rPr>
        <w:t xml:space="preserve"> within the Consolidated Statements of Income and Comprehensive Income. The adjustments for the fifty-two weeks ended August 27, 2022, August 28, 2021, and August 29, 2020 resulted in a loss of $30.1 million, a loss of $66.2 million and a gain of $30.9 million, respectively.</w:t>
      </w:r>
    </w:p>
    <w:p>
      <w:pPr>
        <w:spacing w:after="0" w:line="202" w:lineRule="exact"/>
        <w:rPr>
          <w:sz w:val="20"/>
          <w:szCs w:val="20"/>
          <w:color w:val="auto"/>
        </w:rPr>
      </w:pPr>
    </w:p>
    <w:p>
      <w:pPr>
        <w:jc w:val="both"/>
        <w:ind w:firstLine="251"/>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fiscal years ended August 27, 2022, August 28, 2021, and August 29, 2020, respectively.</w:t>
      </w:r>
    </w:p>
    <w:p>
      <w:pPr>
        <w:spacing w:after="0" w:line="185"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sources of income before income taxes are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79,526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78,418</w:t>
            </w: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5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 was comprised of the following:</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22,733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23,225</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r>
      <w:tr>
        <w:trPr>
          <w:trHeight w:val="27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w:t>
            </w: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r>
      <w:tr>
        <w:trPr>
          <w:trHeight w:val="27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r>
      <w:tr>
        <w:trPr>
          <w:trHeight w:val="22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tax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41,995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is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income tax expense: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23"/>
                <w:szCs w:val="23"/>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income tax expense, net of federal</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on foreign income above the U.S. tax</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tax rate</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23"/>
                <w:szCs w:val="23"/>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Non-deductible transaction costs</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67"/>
        </w:trPr>
        <w:tc>
          <w:tcPr>
            <w:tcW w:w="3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permanent items</w:t>
            </w: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5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193"/>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at August 27, 2022 and August 28, 2021 were as follows:</w:t>
      </w:r>
    </w:p>
    <w:p>
      <w:pPr>
        <w:spacing w:after="0" w:line="234" w:lineRule="exact"/>
        <w:rPr>
          <w:sz w:val="20"/>
          <w:szCs w:val="20"/>
          <w:color w:val="auto"/>
        </w:rPr>
      </w:pPr>
    </w:p>
    <w:tbl>
      <w:tblPr>
        <w:tblLayout w:type="fixed"/>
        <w:tblInd w:w="2320" w:type="dxa"/>
        <w:tblCellMar>
          <w:top w:w="0" w:type="dxa"/>
          <w:left w:w="0" w:type="dxa"/>
          <w:bottom w:w="0" w:type="dxa"/>
          <w:right w:w="0" w:type="dxa"/>
        </w:tblCellMar>
      </w:tblPr>
      <w:tr>
        <w:trPr>
          <w:trHeight w:val="26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 write-downs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 credits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12,271</w:t>
            </w:r>
          </w:p>
        </w:tc>
      </w:tr>
      <w:tr>
        <w:trPr>
          <w:trHeight w:val="270"/>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r>
      <w:tr>
        <w:trPr>
          <w:trHeight w:val="250"/>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30,281</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r>
      <w:tr>
        <w:trPr>
          <w:trHeight w:val="250"/>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28,509</w:t>
            </w:r>
          </w:p>
        </w:tc>
        <w:tc>
          <w:tcPr>
            <w:tcW w:w="1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28,063</w:t>
            </w:r>
          </w:p>
        </w:tc>
      </w:tr>
      <w:tr>
        <w:trPr>
          <w:trHeight w:val="273"/>
        </w:trPr>
        <w:tc>
          <w:tcPr>
            <w:tcW w:w="3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Excess tax over book depreciation</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Website development costs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(116,682)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(105,997)</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right-of-use assets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(11,709)</w:t>
            </w:r>
          </w:p>
        </w:tc>
      </w:tr>
      <w:tr>
        <w:trPr>
          <w:trHeight w:val="267"/>
        </w:trPr>
        <w:tc>
          <w:tcPr>
            <w:tcW w:w="35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5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(121,818)</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(105,544)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(93,755)</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53"/>
        <w:spacing w:after="0" w:line="282" w:lineRule="auto"/>
        <w:rPr>
          <w:sz w:val="20"/>
          <w:szCs w:val="20"/>
          <w:color w:val="auto"/>
        </w:rPr>
      </w:pPr>
      <w:r>
        <w:rPr>
          <w:rFonts w:ascii="Times New Roman" w:cs="Times New Roman" w:eastAsia="Times New Roman" w:hAnsi="Times New Roman"/>
          <w:sz w:val="18"/>
          <w:szCs w:val="18"/>
          <w:color w:val="auto"/>
        </w:rPr>
        <w:t>The Company had state net operating loss carryforwards of $2.1 million and $2.5 million and foreign net operating losses of $0.0 million and $9.4 million at August 27, 2022 and August 28, 2021, respectively. The state net operating loss carryforwards will begin to expire in 2029.</w:t>
      </w:r>
    </w:p>
    <w:p>
      <w:pPr>
        <w:spacing w:after="0" w:line="189"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8"/>
          <w:szCs w:val="18"/>
          <w:color w:val="auto"/>
        </w:rPr>
        <w:t>As of August 27, 2022, the Company has no valuation allowances on its deferred tax assets. The Company had previously recorded a valuation allowance of $2.2 million on deferred tax assets related to foreign net operating loss carryforwards generated within the United Kingdom and the Netherlands. As of August 27, 2022, the Company no longer had operations in either jurisdiction. Accordingly, during the fifty-two weeks ended August 27, 2022, the Company wrote off the United Kingdom and Netherlands net operating loss carryforwards and the corresponding $2.2 million valuation allowance as the net operating loss carryforwards were no longer utilizable.</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As of August 27, 2022, the Company does not intend to indefinitely reinvest its foreign earnings within its subsidiary in Canada and has not recognized any tax liabilities related to this jurisdiction. It is the Company’s intention to reinvest the earnings of its other non-U.S. subsidiaries in its Australia and New Zealand operations. As of August 27, 2022,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August 27, 2022 and August 28, 2021, the Company has no unrecognized tax benefits.</w:t>
      </w:r>
    </w:p>
    <w:p>
      <w:pPr>
        <w:spacing w:after="0" w:line="252" w:lineRule="exact"/>
        <w:rPr>
          <w:sz w:val="20"/>
          <w:szCs w:val="20"/>
          <w:color w:val="auto"/>
        </w:rPr>
      </w:pPr>
    </w:p>
    <w:p>
      <w:pPr>
        <w:jc w:val="both"/>
        <w:ind w:firstLine="264"/>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associated with unrecognized tax benefits as a component of tax expense. As of August 27, 2022 and August 28, 2021, the Company has not accrued interest or penalties on unrecognized tax benefits, as there is no position recorded as of these fiscal years. No changes to the uncertain tax position balance are anticipated within the next 12 months, and are not expected to materially affect the financial statements.</w:t>
      </w:r>
    </w:p>
    <w:p>
      <w:pPr>
        <w:spacing w:after="0" w:line="207" w:lineRule="exact"/>
        <w:rPr>
          <w:sz w:val="20"/>
          <w:szCs w:val="20"/>
          <w:color w:val="auto"/>
        </w:rPr>
      </w:pPr>
    </w:p>
    <w:p>
      <w:pPr>
        <w:jc w:val="both"/>
        <w:ind w:right="20" w:firstLine="231"/>
        <w:spacing w:after="0" w:line="266" w:lineRule="auto"/>
        <w:rPr>
          <w:sz w:val="20"/>
          <w:szCs w:val="20"/>
          <w:color w:val="auto"/>
        </w:rPr>
      </w:pPr>
      <w:r>
        <w:rPr>
          <w:rFonts w:ascii="Times New Roman" w:cs="Times New Roman" w:eastAsia="Times New Roman" w:hAnsi="Times New Roman"/>
          <w:sz w:val="18"/>
          <w:szCs w:val="18"/>
          <w:color w:val="auto"/>
        </w:rPr>
        <w:t>As of August 27, 2022, tax years 2016 to 2021 remain subject to examination in the United States and the tax years 2016 to 2021 remain subject to examination in other major foreign jurisdictions where the Company conducts business. State income tax returns are generally subject to examination for a period of three to five years after the filing of the respective return.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51"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27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 of Operations Caption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August 29, 2020</w:t>
            </w:r>
          </w:p>
        </w:tc>
        <w:tc>
          <w:tcPr>
            <w:tcW w:w="0" w:type="dxa"/>
            <w:vAlign w:val="bottom"/>
          </w:tcPr>
          <w:p>
            <w:pPr>
              <w:spacing w:after="0"/>
              <w:rPr>
                <w:sz w:val="1"/>
                <w:szCs w:val="1"/>
                <w:color w:val="auto"/>
              </w:rPr>
            </w:pPr>
          </w:p>
        </w:tc>
      </w:tr>
      <w:tr>
        <w:trPr>
          <w:trHeight w:val="25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 xml:space="preserve">Cost of goods sold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General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6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 xml:space="preserve">Cost of goods sold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General and</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16"/>
        </w:trPr>
        <w:tc>
          <w:tcPr>
            <w:tcW w:w="2660" w:type="dxa"/>
            <w:vAlign w:val="bottom"/>
            <w:gridSpan w:val="2"/>
            <w:vMerge w:val="continue"/>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0" w:type="dxa"/>
            <w:vAlign w:val="bottom"/>
          </w:tcPr>
          <w:p>
            <w:pPr>
              <w:spacing w:after="0"/>
              <w:rPr>
                <w:sz w:val="1"/>
                <w:szCs w:val="1"/>
                <w:color w:val="auto"/>
              </w:rPr>
            </w:pPr>
          </w:p>
        </w:tc>
      </w:tr>
      <w:tr>
        <w:trPr>
          <w:trHeight w:val="273"/>
        </w:trPr>
        <w:tc>
          <w:tcPr>
            <w:tcW w:w="2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73"/>
        </w:trPr>
        <w:tc>
          <w:tcPr>
            <w:tcW w:w="2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 use assets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67"/>
        </w:trPr>
        <w:tc>
          <w:tcPr>
            <w:tcW w:w="2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3"/>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primarily consists of common area maintenance, such as cleaning and repairs.</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conjunction with the Company’s restructuring activities as discussed in Note 16, Restructuring and Related Charges, the Company recorded an immaterial gain on lease termination related to its lease in the Netherlands in the fifty-two weeks ended August 27, 2022 and a $0.5 million impairment charge, net of a gain on lease termination, related to its leases in Toronto, Ontario and the Netherlands in the fifty-two weeks ended August 28, 2021.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Income and Comprehensive Income. Refer to Note 16, Restructuring and Related Charges, for additional information regarding restructuring activities.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49"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25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46,197</w:t>
            </w:r>
          </w:p>
        </w:tc>
        <w:tc>
          <w:tcPr>
            <w:tcW w:w="0" w:type="dxa"/>
            <w:vAlign w:val="bottom"/>
          </w:tcPr>
          <w:p>
            <w:pPr>
              <w:spacing w:after="0"/>
              <w:rPr>
                <w:sz w:val="1"/>
                <w:szCs w:val="1"/>
                <w:color w:val="auto"/>
              </w:rPr>
            </w:pPr>
          </w:p>
        </w:tc>
      </w:tr>
      <w:tr>
        <w:trPr>
          <w:trHeight w:val="27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26"/>
        </w:trPr>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46,837</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Accrued expenses and other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0" w:type="dxa"/>
            <w:vAlign w:val="bottom"/>
          </w:tcPr>
          <w:p>
            <w:pPr>
              <w:spacing w:after="0"/>
              <w:rPr>
                <w:sz w:val="1"/>
                <w:szCs w:val="1"/>
                <w:color w:val="auto"/>
              </w:rPr>
            </w:pPr>
          </w:p>
        </w:tc>
      </w:tr>
      <w:tr>
        <w:trPr>
          <w:trHeight w:val="214"/>
        </w:trPr>
        <w:tc>
          <w:tcPr>
            <w:tcW w:w="2680" w:type="dxa"/>
            <w:vAlign w:val="bottom"/>
            <w:gridSpan w:val="2"/>
            <w:vMerge w:val="continue"/>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liabilities</w:t>
            </w:r>
          </w:p>
        </w:tc>
        <w:tc>
          <w:tcPr>
            <w:tcW w:w="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w:t>
            </w: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Long-term debt, less current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CCEEFF"/>
            </w:tcBorders>
            <w:gridSpan w:val="2"/>
            <w:vMerge w:val="continue"/>
          </w:tcPr>
          <w:p>
            <w:pPr>
              <w:spacing w:after="0"/>
              <w:rPr>
                <w:sz w:val="18"/>
                <w:szCs w:val="18"/>
                <w:color w:val="auto"/>
              </w:rPr>
            </w:pPr>
          </w:p>
        </w:tc>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maturities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August 27, 2022 were as follows:</w:t>
      </w:r>
    </w:p>
    <w:p>
      <w:pPr>
        <w:spacing w:after="0" w:line="349" w:lineRule="exact"/>
        <w:rPr>
          <w:sz w:val="20"/>
          <w:szCs w:val="20"/>
          <w:color w:val="auto"/>
        </w:rPr>
      </w:pPr>
    </w:p>
    <w:tbl>
      <w:tblPr>
        <w:tblLayout w:type="fixed"/>
        <w:tblInd w:w="3000" w:type="dxa"/>
        <w:tblCellMar>
          <w:top w:w="0" w:type="dxa"/>
          <w:left w:w="0" w:type="dxa"/>
          <w:bottom w:w="0" w:type="dxa"/>
          <w:right w:w="0" w:type="dxa"/>
        </w:tblCellMar>
      </w:tblPr>
      <w:tr>
        <w:trPr>
          <w:trHeight w:val="215"/>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7"/>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73"/>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67"/>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7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50,731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232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27, 2022</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67"/>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64"/>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1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158"/>
        </w:trPr>
        <w:tc>
          <w:tcPr>
            <w:tcW w:w="33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of lease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67"/>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w:t>
            </w:r>
          </w:p>
        </w:tc>
      </w:tr>
      <w:tr>
        <w:trPr>
          <w:trHeight w:val="27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64"/>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7"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 xml:space="preserve">During the fifty-two weeks ended August 28, 2021, the Company received a $5.0 million gain on a legal settlement, which has been presented as an item within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in the Consolidated Statements of Income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August 27, 2022, the Company will be required to make payments of $0.9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Equity Offering</w:t>
      </w:r>
    </w:p>
    <w:p>
      <w:pPr>
        <w:spacing w:after="0" w:line="256" w:lineRule="exact"/>
        <w:rPr>
          <w:sz w:val="20"/>
          <w:szCs w:val="20"/>
          <w:color w:val="auto"/>
        </w:rPr>
      </w:pPr>
    </w:p>
    <w:p>
      <w:pPr>
        <w:jc w:val="both"/>
        <w:ind w:firstLine="217"/>
        <w:spacing w:after="0" w:line="261" w:lineRule="auto"/>
        <w:rPr>
          <w:sz w:val="20"/>
          <w:szCs w:val="20"/>
          <w:color w:val="auto"/>
        </w:rPr>
      </w:pPr>
      <w:r>
        <w:rPr>
          <w:rFonts w:ascii="Times New Roman" w:cs="Times New Roman" w:eastAsia="Times New Roman" w:hAnsi="Times New Roman"/>
          <w:sz w:val="18"/>
          <w:szCs w:val="18"/>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Quest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27, 2022.</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8,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including the cashless exercise and the settlement of the warrant liability, have been reflected in </w:t>
      </w:r>
      <w:r>
        <w:rPr>
          <w:rFonts w:ascii="Times New Roman" w:cs="Times New Roman" w:eastAsia="Times New Roman" w:hAnsi="Times New Roman"/>
          <w:sz w:val="18"/>
          <w:szCs w:val="18"/>
          <w:i w:val="1"/>
          <w:iCs w:val="1"/>
          <w:color w:val="auto"/>
        </w:rPr>
        <w:t>(Loss) gain in fair value change of warrant liability</w:t>
      </w:r>
      <w:r>
        <w:rPr>
          <w:rFonts w:ascii="Times New Roman" w:cs="Times New Roman" w:eastAsia="Times New Roman" w:hAnsi="Times New Roman"/>
          <w:sz w:val="18"/>
          <w:szCs w:val="18"/>
          <w:color w:val="auto"/>
        </w:rPr>
        <w:t xml:space="preserve"> within the Consolidated Statements of Income and Comprehensive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01"/>
        <w:spacing w:after="0" w:line="258"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the Company announced that its Board of Directors had approved the addition of $50.0 million to its stock repurchase program, resulting in authorized stock repurchases of up to an aggregate of $100.0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repurchased 1,720,520 shares of common stock at an average share price of $34.79 per share. The Company did not repurchase any shares of common stock during the fifty-two weeks ended August 28, 2021 or August 29, 2020. As of August 27, 2022, approximately $38.0 million remained available under the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56" w:lineRule="exact"/>
        <w:rPr>
          <w:sz w:val="20"/>
          <w:szCs w:val="20"/>
          <w:color w:val="auto"/>
        </w:rPr>
      </w:pPr>
    </w:p>
    <w:p>
      <w:pPr>
        <w:jc w:val="both"/>
        <w:ind w:firstLine="186"/>
        <w:spacing w:after="0" w:line="266" w:lineRule="auto"/>
        <w:rPr>
          <w:sz w:val="20"/>
          <w:szCs w:val="20"/>
          <w:color w:val="auto"/>
        </w:rPr>
      </w:pPr>
      <w:r>
        <w:rPr>
          <w:rFonts w:ascii="Times New Roman" w:cs="Times New Roman" w:eastAsia="Times New Roman" w:hAnsi="Times New Roman"/>
          <w:sz w:val="18"/>
          <w:szCs w:val="18"/>
          <w:color w:val="auto"/>
        </w:rPr>
        <w:t xml:space="preserve">During the fifty-two weeks ended August 27, 2022, the Company recognized a foreign currency translation gain of $1.1 million related to the liquidation of a foreign subsidiary. The gain is reflected as a component of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Gain (loss) on foreign currency transactions</w:t>
      </w:r>
      <w:r>
        <w:rPr>
          <w:rFonts w:ascii="Times New Roman" w:cs="Times New Roman" w:eastAsia="Times New Roman" w:hAnsi="Times New Roman"/>
          <w:sz w:val="18"/>
          <w:szCs w:val="18"/>
          <w:color w:val="auto"/>
        </w:rPr>
        <w:t xml:space="preserve"> within the Consolidated Statements of Income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21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324"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30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c>
          <w:tcPr>
            <w:tcW w:w="0" w:type="dxa"/>
            <w:vAlign w:val="bottom"/>
          </w:tcPr>
          <w:p>
            <w:pPr>
              <w:spacing w:after="0"/>
              <w:rPr>
                <w:sz w:val="1"/>
                <w:szCs w:val="1"/>
                <w:color w:val="auto"/>
              </w:rPr>
            </w:pP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income available to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98,754,913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95,743,413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93,968,953</w:t>
            </w:r>
          </w:p>
        </w:tc>
        <w:tc>
          <w:tcPr>
            <w:tcW w:w="0" w:type="dxa"/>
            <w:vAlign w:val="bottom"/>
          </w:tcPr>
          <w:p>
            <w:pPr>
              <w:spacing w:after="0"/>
              <w:rPr>
                <w:sz w:val="1"/>
                <w:szCs w:val="1"/>
                <w:color w:val="auto"/>
              </w:rPr>
            </w:pPr>
          </w:p>
        </w:tc>
      </w:tr>
      <w:tr>
        <w:trPr>
          <w:trHeight w:val="213"/>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outstanding – basic</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income available to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Gain in fair value change of warrant</w:t>
            </w:r>
          </w:p>
        </w:tc>
        <w:tc>
          <w:tcPr>
            <w:tcW w:w="160" w:type="dxa"/>
            <w:vAlign w:val="bottom"/>
          </w:tcPr>
          <w:p>
            <w:pPr>
              <w:spacing w:after="0"/>
              <w:rPr>
                <w:sz w:val="14"/>
                <w:szCs w:val="14"/>
                <w:color w:val="auto"/>
              </w:rPr>
            </w:pP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(30,938)</w:t>
            </w:r>
          </w:p>
        </w:tc>
        <w:tc>
          <w:tcPr>
            <w:tcW w:w="0" w:type="dxa"/>
            <w:vAlign w:val="bottom"/>
          </w:tcPr>
          <w:p>
            <w:pPr>
              <w:spacing w:after="0"/>
              <w:rPr>
                <w:sz w:val="1"/>
                <w:szCs w:val="1"/>
                <w:color w:val="auto"/>
              </w:rPr>
            </w:pPr>
          </w:p>
        </w:tc>
      </w:tr>
      <w:tr>
        <w:trPr>
          <w:trHeight w:val="213"/>
        </w:trPr>
        <w:tc>
          <w:tcPr>
            <w:tcW w:w="34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liability</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0" w:type="dxa"/>
            <w:vAlign w:val="bottom"/>
          </w:tcPr>
          <w:p>
            <w:pPr>
              <w:spacing w:after="0"/>
              <w:rPr>
                <w:sz w:val="1"/>
                <w:szCs w:val="1"/>
                <w:color w:val="auto"/>
              </w:rPr>
            </w:pPr>
          </w:p>
        </w:tc>
      </w:tr>
      <w:tr>
        <w:trPr>
          <w:trHeight w:val="24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98,754,913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95,743,413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93,968,953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outstanding – basic</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Private Warrants</w:t>
            </w:r>
          </w:p>
        </w:tc>
        <w:tc>
          <w:tcPr>
            <w:tcW w:w="16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3,327,656</w:t>
            </w:r>
          </w:p>
        </w:tc>
        <w:tc>
          <w:tcPr>
            <w:tcW w:w="0" w:type="dxa"/>
            <w:vAlign w:val="bottom"/>
          </w:tcPr>
          <w:p>
            <w:pPr>
              <w:spacing w:after="0"/>
              <w:rPr>
                <w:sz w:val="1"/>
                <w:szCs w:val="1"/>
                <w:color w:val="auto"/>
              </w:rPr>
            </w:pPr>
          </w:p>
        </w:tc>
      </w:tr>
      <w:tr>
        <w:trPr>
          <w:trHeight w:val="273"/>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Employee stock options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1,311,889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1,001,542</w:t>
            </w:r>
          </w:p>
        </w:tc>
        <w:tc>
          <w:tcPr>
            <w:tcW w:w="0" w:type="dxa"/>
            <w:vAlign w:val="bottom"/>
          </w:tcPr>
          <w:p>
            <w:pPr>
              <w:spacing w:after="0"/>
              <w:rPr>
                <w:sz w:val="1"/>
                <w:szCs w:val="1"/>
                <w:color w:val="auto"/>
              </w:rPr>
            </w:pPr>
          </w:p>
        </w:tc>
      </w:tr>
      <w:tr>
        <w:trPr>
          <w:trHeight w:val="267"/>
        </w:trPr>
        <w:tc>
          <w:tcPr>
            <w:tcW w:w="34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Non-vested stock units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255,914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310,296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45,571</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100,589,156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97,365,598</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98,343,722</w:t>
            </w:r>
          </w:p>
        </w:tc>
        <w:tc>
          <w:tcPr>
            <w:tcW w:w="0" w:type="dxa"/>
            <w:vAlign w:val="bottom"/>
          </w:tcPr>
          <w:p>
            <w:pPr>
              <w:spacing w:after="0"/>
              <w:rPr>
                <w:sz w:val="1"/>
                <w:szCs w:val="1"/>
                <w:color w:val="auto"/>
              </w:rPr>
            </w:pPr>
          </w:p>
        </w:tc>
      </w:tr>
      <w:tr>
        <w:trPr>
          <w:trHeight w:val="226"/>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2"/>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fifty-two weeks ended August 27, 2022 and August 28, 2021 excluded 0.7 million and 4.1 million shares, issuable upon exercise of Private Warrants, respectively, that would have been anti-dilutive.</w:t>
      </w:r>
    </w:p>
    <w:p>
      <w:pPr>
        <w:spacing w:after="0" w:line="189" w:lineRule="exact"/>
        <w:rPr>
          <w:sz w:val="20"/>
          <w:szCs w:val="20"/>
          <w:color w:val="auto"/>
        </w:rPr>
      </w:pPr>
    </w:p>
    <w:p>
      <w:pPr>
        <w:jc w:val="both"/>
        <w:ind w:firstLine="246"/>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fifty-two weeks ended August 27, 2022, August 28, 2021, and August 29, 2020 excluded 0.3 million shares, an immaterial number of shares, and 0.6 million shares of common stock issuable upon exercise of stock options, respectively, that would have been anti-dilutive.</w:t>
      </w:r>
    </w:p>
    <w:p>
      <w:pPr>
        <w:spacing w:after="0" w:line="203" w:lineRule="exact"/>
        <w:rPr>
          <w:sz w:val="20"/>
          <w:szCs w:val="20"/>
          <w:color w:val="auto"/>
        </w:rPr>
      </w:pPr>
    </w:p>
    <w:p>
      <w:pPr>
        <w:jc w:val="both"/>
        <w:ind w:firstLine="215"/>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fifty-two weeks ended August 27, 2022, August 28, 2021, and August 29, 2020 excluded an immaterial number of non-vested stock units that would have been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Omnibus Incentive Plan</w:t>
      </w:r>
    </w:p>
    <w:p>
      <w:pPr>
        <w:spacing w:after="0" w:line="25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its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the recipient’s other compensation is reported.</w:t>
      </w:r>
    </w:p>
    <w:p>
      <w:pPr>
        <w:spacing w:after="0" w:line="207" w:lineRule="exact"/>
        <w:rPr>
          <w:sz w:val="20"/>
          <w:szCs w:val="20"/>
          <w:color w:val="auto"/>
        </w:rPr>
      </w:pPr>
    </w:p>
    <w:p>
      <w:pPr>
        <w:jc w:val="both"/>
        <w:ind w:right="20" w:firstLine="223"/>
        <w:spacing w:after="0" w:line="282" w:lineRule="auto"/>
        <w:rPr>
          <w:sz w:val="20"/>
          <w:szCs w:val="20"/>
          <w:color w:val="auto"/>
        </w:rPr>
      </w:pPr>
      <w:r>
        <w:rPr>
          <w:rFonts w:ascii="Times New Roman" w:cs="Times New Roman" w:eastAsia="Times New Roman" w:hAnsi="Times New Roman"/>
          <w:sz w:val="18"/>
          <w:szCs w:val="18"/>
          <w:color w:val="auto"/>
        </w:rPr>
        <w:t>For the fifty-two weeks ended August 27, 2022, August 28, 2021, and August 29, 2020, the Company recorded stock-based compensation expense of $11.7 million, $8.3 million, and $7.6 million, respectively.</w:t>
      </w:r>
    </w:p>
    <w:p>
      <w:pPr>
        <w:spacing w:after="0" w:line="189" w:lineRule="exact"/>
        <w:rPr>
          <w:sz w:val="20"/>
          <w:szCs w:val="20"/>
          <w:color w:val="auto"/>
        </w:rPr>
      </w:pPr>
    </w:p>
    <w:p>
      <w:pPr>
        <w:jc w:val="both"/>
        <w:ind w:firstLine="279"/>
        <w:spacing w:after="0" w:line="266" w:lineRule="auto"/>
        <w:rPr>
          <w:sz w:val="20"/>
          <w:szCs w:val="20"/>
          <w:color w:val="auto"/>
        </w:rPr>
      </w:pPr>
      <w:r>
        <w:rPr>
          <w:rFonts w:ascii="Times New Roman" w:cs="Times New Roman" w:eastAsia="Times New Roman" w:hAnsi="Times New Roman"/>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27, 2022, there were 3.9 million shares available for grant under the Incentive Plan.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fifty-two weeks ended August 27, 2022:</w:t>
      </w:r>
    </w:p>
    <w:p>
      <w:pPr>
        <w:spacing w:after="0" w:line="27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00" w:type="dxa"/>
            <w:vAlign w:val="bottom"/>
          </w:tcPr>
          <w:p>
            <w:pPr>
              <w:spacing w:after="0"/>
              <w:rPr>
                <w:sz w:val="16"/>
                <w:szCs w:val="16"/>
                <w:color w:val="auto"/>
              </w:rPr>
            </w:pP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Aggregate intrinsic</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vMerge w:val="restart"/>
          </w:tcPr>
          <w:p>
            <w:pPr>
              <w:spacing w:after="0"/>
              <w:rPr>
                <w:sz w:val="14"/>
                <w:szCs w:val="14"/>
                <w:color w:val="auto"/>
              </w:rPr>
            </w:pPr>
          </w:p>
        </w:tc>
        <w:tc>
          <w:tcPr>
            <w:tcW w:w="1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remaining life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2,993,163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57,227</w:t>
            </w: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40.88</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(352,791)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19.89</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39,702</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27,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39,702</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August 27,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2,191,573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37,191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August 27, 2022:</w:t>
      </w: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auto"/>
              </w:rPr>
              <w:t>Range of Exercise Prices</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Number outstanding</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9"/>
              </w:rPr>
              <w:t>remaining life</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Number exercisable</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2160" w:type="dxa"/>
            <w:vAlign w:val="bottom"/>
            <w:gridSpan w:val="4"/>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exercise price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(years)</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exercise price</w:t>
            </w:r>
          </w:p>
        </w:tc>
        <w:tc>
          <w:tcPr>
            <w:tcW w:w="0" w:type="dxa"/>
            <w:vAlign w:val="bottom"/>
          </w:tcPr>
          <w:p>
            <w:pPr>
              <w:spacing w:after="0"/>
              <w:rPr>
                <w:sz w:val="1"/>
                <w:szCs w:val="1"/>
                <w:color w:val="auto"/>
              </w:rPr>
            </w:pPr>
          </w:p>
        </w:tc>
      </w:tr>
      <w:tr>
        <w:trPr>
          <w:trHeight w:val="253"/>
        </w:trPr>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17.77</w:t>
            </w:r>
          </w:p>
        </w:tc>
        <w:tc>
          <w:tcPr>
            <w:tcW w:w="1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1,655,003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1,655,003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23.55</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588,458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397,751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73"/>
        </w:trPr>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29.33</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194,611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35.11</w:t>
            </w:r>
          </w:p>
        </w:tc>
        <w:tc>
          <w:tcPr>
            <w:tcW w:w="14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40.88</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338,479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14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2,191,573</w:t>
            </w:r>
          </w:p>
        </w:tc>
        <w:tc>
          <w:tcPr>
            <w:tcW w:w="14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right="20" w:firstLine="303"/>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fifty-two weeks ended August 27, 2022, August 28, 2021, and August 29, 2020 were $15.32, $9.99 and $7.79, respectively.</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based on the following assumptions: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52-Weeks Ended</w:t>
            </w: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52-Weeks Ended</w:t>
            </w:r>
          </w:p>
        </w:tc>
        <w:tc>
          <w:tcPr>
            <w:tcW w:w="1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060" w:type="dxa"/>
            <w:vAlign w:val="bottom"/>
          </w:tcPr>
          <w:p>
            <w:pPr>
              <w:spacing w:after="0"/>
              <w:rPr>
                <w:sz w:val="23"/>
                <w:szCs w:val="23"/>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27, 2022</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August 28, 2021</w:t>
            </w: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37.07%</w:t>
            </w:r>
          </w:p>
        </w:tc>
        <w:tc>
          <w:tcPr>
            <w:tcW w:w="14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xml:space="preserve">36.80 %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38.75%</w:t>
            </w:r>
          </w:p>
        </w:tc>
        <w:tc>
          <w:tcPr>
            <w:tcW w:w="14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30.27 %  -  33.82%</w:t>
            </w:r>
          </w:p>
        </w:tc>
      </w:tr>
      <w:tr>
        <w:trPr>
          <w:trHeight w:val="26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option term</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6</w:t>
            </w:r>
          </w:p>
        </w:tc>
      </w:tr>
      <w:tr>
        <w:trPr>
          <w:trHeight w:val="26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xml:space="preserve">0.80 %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0.935%</w:t>
            </w:r>
          </w:p>
        </w:tc>
        <w:tc>
          <w:tcPr>
            <w:tcW w:w="14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0.38 %  -  1.80%</w:t>
            </w:r>
          </w:p>
        </w:tc>
      </w:tr>
    </w:tbl>
    <w:p>
      <w:pPr>
        <w:spacing w:after="0" w:line="325" w:lineRule="exact"/>
        <w:rPr>
          <w:sz w:val="20"/>
          <w:szCs w:val="20"/>
          <w:color w:val="auto"/>
        </w:rPr>
      </w:pPr>
    </w:p>
    <w:p>
      <w:pPr>
        <w:jc w:val="both"/>
        <w:ind w:firstLine="187"/>
        <w:spacing w:after="0" w:line="254" w:lineRule="auto"/>
        <w:rPr>
          <w:sz w:val="20"/>
          <w:szCs w:val="20"/>
          <w:color w:val="auto"/>
        </w:rPr>
      </w:pPr>
      <w:r>
        <w:rPr>
          <w:rFonts w:ascii="Times New Roman" w:cs="Times New Roman" w:eastAsia="Times New Roman" w:hAnsi="Times New Roman"/>
          <w:sz w:val="18"/>
          <w:szCs w:val="18"/>
          <w:color w:val="auto"/>
        </w:rPr>
        <w:t>Because the Company’s Incentive Plan has not been in place for a sufficient amount of time as compared to the expected stock option terms nor does the Company have sufficient history with changes in option vesting schedules and changes in the pool of employees receiving option grants, the Company estimates the expected term using its historical experience of the time awards have been outstanding as well as an expected time outstanding, which takes into account the award vesting and contractual term. Additionally, due to a lack of sufficient trading history for the Company’s common stock, expected stock price volatility is based on a combination of a sampling of comparable publicly traded companies and the Company’s historical common stock price activity. The Company believes the sample of comparable publicly traded companies used as inputs to its expected stock price volatility most closely models the nature of the business and stock price volatility. The risk-free rates are based on the implied yield available on U.S. Treasury zero-coupon issues with an equivalent remaining term. Future annual dividends over the expected term are estimated to be nil.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78"/>
        <w:spacing w:after="0" w:line="266" w:lineRule="auto"/>
        <w:rPr>
          <w:sz w:val="20"/>
          <w:szCs w:val="20"/>
          <w:color w:val="auto"/>
        </w:rPr>
      </w:pPr>
      <w:r>
        <w:rPr>
          <w:rFonts w:ascii="Times New Roman" w:cs="Times New Roman" w:eastAsia="Times New Roman" w:hAnsi="Times New Roman"/>
          <w:sz w:val="18"/>
          <w:szCs w:val="18"/>
          <w:color w:val="auto"/>
        </w:rPr>
        <w:t>As of August 27, 2022, the Company had $4.3 million of total unrecognized compensation cost related to stock option plans that will be recognized over a weighted average period of 1.6 years. During the fifty-two weeks ended August 27, 2022, August 28, 2021, and August 29, 2020, the Company received $4.3 million, $0.7 million, and $4.2 million in cash from stock option exercises,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fifty-two weeks ended August 27, 2022:</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(180,096)</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(35,030)</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06"/>
        <w:spacing w:after="0" w:line="282" w:lineRule="auto"/>
        <w:rPr>
          <w:sz w:val="20"/>
          <w:szCs w:val="20"/>
          <w:color w:val="auto"/>
        </w:rPr>
      </w:pPr>
      <w:r>
        <w:rPr>
          <w:rFonts w:ascii="Times New Roman" w:cs="Times New Roman" w:eastAsia="Times New Roman" w:hAnsi="Times New Roman"/>
          <w:sz w:val="18"/>
          <w:szCs w:val="18"/>
          <w:color w:val="auto"/>
        </w:rPr>
        <w:t>As of August 27, 2022, the Company had $8.4 million of total unrecognized compensation cost related to restricted stock units that will be recognized over a weighted average period of 1.4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54" w:lineRule="exact"/>
        <w:rPr>
          <w:sz w:val="20"/>
          <w:szCs w:val="20"/>
          <w:color w:val="auto"/>
        </w:rPr>
      </w:pPr>
    </w:p>
    <w:p>
      <w:pPr>
        <w:jc w:val="both"/>
        <w:ind w:firstLine="211"/>
        <w:spacing w:after="0" w:line="266" w:lineRule="auto"/>
        <w:rPr>
          <w:sz w:val="20"/>
          <w:szCs w:val="20"/>
          <w:color w:val="auto"/>
        </w:rPr>
      </w:pPr>
      <w:r>
        <w:rPr>
          <w:rFonts w:ascii="Times New Roman" w:cs="Times New Roman" w:eastAsia="Times New Roman" w:hAnsi="Times New Roman"/>
          <w:sz w:val="18"/>
          <w:szCs w:val="18"/>
          <w:color w:val="auto"/>
        </w:rPr>
        <w:t>During the fifty-two weeks ended August 27, 2022,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fifty-two weeks ended August 27, 2022:</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(166,688)</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70"/>
        <w:spacing w:after="0" w:line="282" w:lineRule="auto"/>
        <w:rPr>
          <w:sz w:val="20"/>
          <w:szCs w:val="20"/>
          <w:color w:val="auto"/>
        </w:rPr>
      </w:pPr>
      <w:r>
        <w:rPr>
          <w:rFonts w:ascii="Times New Roman" w:cs="Times New Roman" w:eastAsia="Times New Roman" w:hAnsi="Times New Roman"/>
          <w:sz w:val="18"/>
          <w:szCs w:val="18"/>
          <w:color w:val="auto"/>
        </w:rPr>
        <w:t>As of August 27, 2022, the Company had $3.6 million of total unrecognized compensation cost related to performance stock units that will be recognized over a weighted average period of 1.0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54"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has been met. SARs cliff vest three years from the date of grant and must be exercised within ten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fifty-two weeks ended August 27, 2022:</w:t>
      </w:r>
    </w:p>
    <w:p>
      <w:pPr>
        <w:spacing w:after="0" w:line="248"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 (in</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27,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76"/>
        <w:spacing w:after="0" w:line="282" w:lineRule="auto"/>
        <w:rPr>
          <w:sz w:val="20"/>
          <w:szCs w:val="20"/>
          <w:color w:val="auto"/>
        </w:rPr>
      </w:pPr>
      <w:r>
        <w:rPr>
          <w:rFonts w:ascii="Times New Roman" w:cs="Times New Roman" w:eastAsia="Times New Roman" w:hAnsi="Times New Roman"/>
          <w:sz w:val="18"/>
          <w:szCs w:val="18"/>
          <w:color w:val="auto"/>
        </w:rPr>
        <w:t>As of August 27, 2022, the Company had an immaterial amount of total unrecognized compensation cost related to its SARs that will be recognized over a weighted average period of 0.2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Customer Information</w:t>
      </w:r>
    </w:p>
    <w:p>
      <w:pPr>
        <w:spacing w:after="0" w:line="256"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substantially completed its efforts to fully integrate its operations and organization structure after the Quest Acquisition. The Company aligned the nature of its production processes and the methods used to distribute products to customers for the Atkins® and Quest® brands. The Company also designed its organizational structure to support entity-wide business functions across brands, products, customers, and geographic regions. Additionally, the Company’s chief operating decision maker reviews operating results and forecasts at the consolidated level. As a result, the Company determined its operations are organized into one, consolidated operating segment and reportable segment. Previously, during the fifty-two weeks ended August 28, 2021 and August 29, 2020, the Company had two operating segments, Atkins and Quest, which were aggregated into one reporting segment due to similar financial, economic and operating characteristics.</w:t>
      </w:r>
    </w:p>
    <w:p>
      <w:pPr>
        <w:spacing w:after="0" w:line="216"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Reconciliation of the totals of reported segment revenue, profit or loss measurement, assets and other significant items reported by segment to the corresponding GAAP totals is not applicable to the Company as it only has one reportable segment. Additionally, revenues from transactions with external customers for each of Simply Good Foods’ products would be impracticable to disclose and management does not view its business by product line. The following is a summary of revenue disaggregated by geographic area and brand:</w:t>
      </w:r>
    </w:p>
    <w:p>
      <w:pPr>
        <w:spacing w:after="0" w:line="279"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540,328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506,860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501,472</w:t>
            </w:r>
          </w:p>
        </w:tc>
      </w:tr>
      <w:tr>
        <w:trPr>
          <w:trHeight w:val="27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593,943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453,619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286,803</w:t>
            </w:r>
          </w:p>
        </w:tc>
      </w:tr>
      <w:tr>
        <w:trPr>
          <w:trHeight w:val="250"/>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North America</w:t>
            </w: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1,134,271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788,275</w:t>
            </w:r>
          </w:p>
        </w:tc>
      </w:tr>
      <w:tr>
        <w:trPr>
          <w:trHeight w:val="27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r>
      <w:tr>
        <w:trPr>
          <w:trHeight w:val="226"/>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1,168,678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1,005,613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816,641</w:t>
            </w:r>
          </w:p>
        </w:tc>
      </w:tr>
    </w:tbl>
    <w:p>
      <w:pPr>
        <w:spacing w:after="0" w:line="13" w:lineRule="exact"/>
        <w:rPr>
          <w:sz w:val="20"/>
          <w:szCs w:val="20"/>
          <w:color w:val="auto"/>
        </w:rPr>
      </w:pPr>
    </w:p>
    <w:p>
      <w:pPr>
        <w:ind w:left="1580" w:right="1820" w:hanging="8"/>
        <w:spacing w:after="0" w:line="226" w:lineRule="auto"/>
        <w:tabs>
          <w:tab w:leader="none" w:pos="1743"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-354965</wp:posOffset>
            </wp:positionV>
            <wp:extent cx="29914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summary of long lived assets by geographic area:</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lived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0"/>
        </w:trPr>
        <w:tc>
          <w:tcPr>
            <w:tcW w:w="3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18,157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16,584</w:t>
            </w:r>
          </w:p>
        </w:tc>
      </w:tr>
      <w:tr>
        <w:trPr>
          <w:trHeight w:val="230"/>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r>
    </w:tbl>
    <w:p>
      <w:pPr>
        <w:ind w:left="2320" w:right="2340" w:firstLine="8"/>
        <w:spacing w:after="0" w:line="243" w:lineRule="auto"/>
        <w:tabs>
          <w:tab w:leader="none" w:pos="2469"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-330835</wp:posOffset>
            </wp:positionV>
            <wp:extent cx="19799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jc w:val="both"/>
        <w:ind w:firstLine="240"/>
        <w:spacing w:after="0" w:line="282" w:lineRule="auto"/>
        <w:rPr>
          <w:sz w:val="20"/>
          <w:szCs w:val="20"/>
          <w:color w:val="auto"/>
        </w:rPr>
      </w:pPr>
      <w:r>
        <w:rPr>
          <w:rFonts w:ascii="Times New Roman" w:cs="Times New Roman" w:eastAsia="Times New Roman" w:hAnsi="Times New Roman"/>
          <w:sz w:val="18"/>
          <w:szCs w:val="18"/>
          <w:color w:val="auto"/>
        </w:rPr>
        <w:t>Credit risk for the Company was concentrated in three customers who each comprised more than 10% of the Company’s total sales for the fifty-two weeks ended August 27, 2022, August 28, 2021, and August 29, 2020.</w:t>
      </w:r>
    </w:p>
    <w:p>
      <w:pPr>
        <w:spacing w:after="0" w:line="26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0"/>
        </w:trPr>
        <w:tc>
          <w:tcPr>
            <w:tcW w:w="3380" w:type="dxa"/>
            <w:vAlign w:val="bottom"/>
          </w:tcPr>
          <w:p>
            <w:pPr>
              <w:spacing w:after="0"/>
              <w:rPr>
                <w:sz w:val="23"/>
                <w:szCs w:val="2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August 27, 2022</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28, 2021</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29, 2020</w:t>
            </w:r>
          </w:p>
        </w:tc>
      </w:tr>
      <w:tr>
        <w:trPr>
          <w:trHeight w:val="33"/>
        </w:trPr>
        <w:tc>
          <w:tcPr>
            <w:tcW w:w="3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6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7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ind w:left="1580"/>
        <w:spacing w:after="0"/>
        <w:rPr>
          <w:sz w:val="20"/>
          <w:szCs w:val="20"/>
          <w:color w:val="auto"/>
        </w:rPr>
      </w:pPr>
      <w:r>
        <w:rPr>
          <w:rFonts w:ascii="Times New Roman" w:cs="Times New Roman" w:eastAsia="Times New Roman" w:hAnsi="Times New Roman"/>
          <w:sz w:val="16"/>
          <w:szCs w:val="16"/>
          <w:color w:val="auto"/>
        </w:rPr>
        <w:t>n/a - Not applicable as the customer was not significant during these fiscal years.</w:t>
      </w:r>
    </w:p>
    <w:p>
      <w:pPr>
        <w:spacing w:after="0" w:line="200" w:lineRule="exact"/>
        <w:rPr>
          <w:sz w:val="20"/>
          <w:szCs w:val="20"/>
          <w:color w:val="auto"/>
        </w:rPr>
      </w:pPr>
    </w:p>
    <w:p>
      <w:pPr>
        <w:spacing w:after="0" w:line="394" w:lineRule="exact"/>
        <w:rPr>
          <w:sz w:val="20"/>
          <w:szCs w:val="20"/>
          <w:color w:val="auto"/>
        </w:rPr>
      </w:pPr>
    </w:p>
    <w:p>
      <w:pPr>
        <w:jc w:val="both"/>
        <w:ind w:right="20" w:firstLine="197"/>
        <w:spacing w:after="0" w:line="282" w:lineRule="auto"/>
        <w:rPr>
          <w:sz w:val="20"/>
          <w:szCs w:val="20"/>
          <w:color w:val="auto"/>
        </w:rPr>
      </w:pPr>
      <w:r>
        <w:rPr>
          <w:rFonts w:ascii="Times New Roman" w:cs="Times New Roman" w:eastAsia="Times New Roman" w:hAnsi="Times New Roman"/>
          <w:sz w:val="18"/>
          <w:szCs w:val="18"/>
          <w:color w:val="auto"/>
        </w:rPr>
        <w:t>At August 27, 2022 and August 28, 2021, the following amounts of the Company’s accounts receivable, net were related to these significant customers for the periods in which the customers were significant:</w:t>
      </w:r>
    </w:p>
    <w:p>
      <w:pPr>
        <w:spacing w:after="0" w:line="261"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August 27, 2022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44,638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37,483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6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21,829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27,962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7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18,521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5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n/a - Not applicable as the customer was not significant during these fiscal years.</w:t>
      </w:r>
    </w:p>
    <w:p>
      <w:pPr>
        <w:spacing w:after="0" w:line="338"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No other customers of the Company accounted for more than 10% of sales during these periods. The Company generally does not require collateral from its customers and has not incurred any significant losses on uncollectible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Quest Acquisition.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249"/>
        <w:spacing w:after="0" w:line="282" w:lineRule="auto"/>
        <w:rPr>
          <w:sz w:val="20"/>
          <w:szCs w:val="20"/>
          <w:color w:val="auto"/>
        </w:rPr>
      </w:pPr>
      <w:r>
        <w:rPr>
          <w:rFonts w:ascii="Times New Roman" w:cs="Times New Roman" w:eastAsia="Times New Roman" w:hAnsi="Times New Roman"/>
          <w:sz w:val="18"/>
          <w:szCs w:val="18"/>
          <w:color w:val="auto"/>
        </w:rPr>
        <w:t>The Company substantially completed its restructuring activities during the fifty-two weeks ended August 27, 2022. Since the announcement of the restructuring activities in May 2020, the Company incurred aggregate restructuring and restructuring-related costs of $9.9 million.</w:t>
      </w:r>
    </w:p>
    <w:p>
      <w:pPr>
        <w:spacing w:after="0" w:line="189" w:lineRule="exact"/>
        <w:rPr>
          <w:sz w:val="20"/>
          <w:szCs w:val="20"/>
          <w:color w:val="auto"/>
        </w:rPr>
      </w:pPr>
    </w:p>
    <w:p>
      <w:pPr>
        <w:jc w:val="both"/>
        <w:ind w:firstLine="219"/>
        <w:spacing w:after="0" w:line="256" w:lineRule="auto"/>
        <w:rPr>
          <w:sz w:val="20"/>
          <w:szCs w:val="20"/>
          <w:color w:val="auto"/>
        </w:rPr>
      </w:pPr>
      <w:r>
        <w:rPr>
          <w:rFonts w:ascii="Times New Roman" w:cs="Times New Roman" w:eastAsia="Times New Roman" w:hAnsi="Times New Roman"/>
          <w:sz w:val="18"/>
          <w:szCs w:val="18"/>
          <w:color w:val="auto"/>
        </w:rPr>
        <w:t xml:space="preserve">The one-time termination benefits and employee severance costs incurred in relation to these restructuring activities were accounted for in accordance with ASC Topic 420, Exit or Disposal Cost Obligations, and ASC Topic 712, Compensation - Nonretirement Post-employment Benefits, respectively. The Company recognized a liability and the related expense for these restructuring costs when the liability was incurred and could be measured. Restructuring accruals were based upon management estimates at the time and could change depending upon changes in facts and circumstances subsequent to the date the original liability was recorded. The effect of these restructuring activities was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Income and Comprehensive Income.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to the restructuring liability during the fifty-two weeks ended August 27, 2022 and August 28, 2021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vMerge w:val="restart"/>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Restructuring liability</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29,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0" w:type="dxa"/>
            <w:vAlign w:val="bottom"/>
          </w:tcPr>
          <w:p>
            <w:pPr>
              <w:spacing w:after="0"/>
              <w:rPr>
                <w:sz w:val="1"/>
                <w:szCs w:val="1"/>
                <w:color w:val="auto"/>
              </w:rPr>
            </w:pPr>
          </w:p>
        </w:tc>
      </w:tr>
      <w:tr>
        <w:trPr>
          <w:trHeight w:val="267"/>
        </w:trPr>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0" w:type="dxa"/>
            <w:vAlign w:val="bottom"/>
          </w:tcPr>
          <w:p>
            <w:pPr>
              <w:spacing w:after="0"/>
              <w:rPr>
                <w:sz w:val="1"/>
                <w:szCs w:val="1"/>
                <w:color w:val="auto"/>
              </w:rPr>
            </w:pPr>
          </w:p>
        </w:tc>
      </w:tr>
      <w:tr>
        <w:trPr>
          <w:trHeight w:val="25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August 28,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46"/>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27,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The Company’s total restructuring and restructuring-related costs incurred in the fifty-two weeks ended August 27, 2022 were $0.1 million, which included an immaterial gain on lease termination related to its lease in the Netherlands in addition to the restructuring costs shown above. In the fifty-two weeks ended August 28, 2021, the Company incurred a total of $4.3 million in restructuring and restructuring-related costs, which included a $0.5 million impairment charge, net of a gain on lease termination, related to its leases in Toronto, Ontario and the Netherlands. The Company’s total restructuring and restructuring-related costs incurred in the fifty-two weeks ended August 29, 2020 were $5.5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27, 2022,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27, 2022.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27, 2022.</w:t>
      </w:r>
    </w:p>
    <w:p>
      <w:pPr>
        <w:spacing w:after="0" w:line="214"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August 27, 2022 was audited by Deloitte &amp; Touche LLP, our independent registered public accounting firm, as stated in their report appearing below, which expressed an unqualified opinion on the effectiveness of our internal control over financial reporting as of August 27,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3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August 27,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Simply Good Foods Company and subsidiaries (the “Company”) as of August 27,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August 27,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fifty-two weeks ended August 27, 2022], of the Company and our report dated October 21, 2022,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2023 Annual Meeting of Stockholders to be filed no later than 120 days after the end of the fiscal year ended August 27,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2023 Annual Meeting of Stockholders to be filed no later than 120 days after the end of the fiscal year ended August 27,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2023 Annual Meeting of Stockholders to be filed no later than 120 days after the end of the fiscal year ended August 27,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2023 Annual Meeting of Stockholders to be filed no later than 120 days after the end of the fiscal year ended August 27,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will be presented under the caption “Audit Committee Matters - Principal Accounting Firm Fees” in our definitive proxy statement for our 2023 Annual Meeting of Stockholders to be filed no later than 120 days after the end of the fiscal year ended August 27, 2022 and is incorporated herein by reference.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56" w:lineRule="exact"/>
        <w:rPr>
          <w:sz w:val="20"/>
          <w:szCs w:val="20"/>
          <w:color w:val="auto"/>
        </w:rPr>
      </w:pPr>
    </w:p>
    <w:p>
      <w:pPr>
        <w:jc w:val="both"/>
        <w:ind w:firstLine="195"/>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9"/>
                <w:szCs w:val="19"/>
                <w:color w:val="auto"/>
              </w:rPr>
            </w:pPr>
          </w:p>
        </w:tc>
        <w:tc>
          <w:tcPr>
            <w:tcW w:w="10540" w:type="dxa"/>
            <w:vAlign w:val="bottom"/>
            <w:gridSpan w:val="43"/>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5"/>
        </w:trPr>
        <w:tc>
          <w:tcPr>
            <w:tcW w:w="102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2.1(a)</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540" w:type="dxa"/>
            <w:vAlign w:val="bottom"/>
            <w:tcBorders>
              <w:top w:val="single" w:sz="8" w:color="auto"/>
            </w:tcBorders>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Agreement and Plan of Merger, dated April 10, 2017, by and among Conyers Park Acquisition Corp., The Simply Good Foods Company, Conyers Park</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6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Parent Merger Sub, Inc., Conyers Park Merger Sub 1, Inc., Conyers Park Merger Sub 2, Inc., Conyers Park Merger Sub 3, Inc., Conyers Park Merger Sub</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200" w:type="dxa"/>
            <w:vAlign w:val="bottom"/>
            <w:tcBorders>
              <w:top w:val="single" w:sz="8" w:color="0000FF"/>
              <w:bottom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4, Inc., NCP-ATK HOLDINGS, INC., Atkins Holdings LLC, solely in its capacity as the Majority Stockholder and, solely in its capacity as the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300" w:type="dxa"/>
            <w:vAlign w:val="bottom"/>
            <w:tcBorders>
              <w:bottom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Stockholders’ Representative, Roark Capital Acquisition LLC (incorporated by reference to Exhibit 2.1 to Registration Statement on Form S-4, filed on</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40" w:type="dxa"/>
            <w:vAlign w:val="bottom"/>
            <w:tcBorders>
              <w:bottom w:val="single" w:sz="8" w:color="0000FF"/>
            </w:tcBorders>
            <w:gridSpan w:val="2"/>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63"/>
        </w:trPr>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w w:val="98"/>
              </w:rPr>
            </w:pPr>
            <w:hyperlink r:id="rId101">
              <w:r>
                <w:rPr>
                  <w:rFonts w:ascii="Times New Roman" w:cs="Times New Roman" w:eastAsia="Times New Roman" w:hAnsi="Times New Roman"/>
                  <w:sz w:val="16"/>
                  <w:szCs w:val="16"/>
                  <w:color w:val="0000FF"/>
                  <w:w w:val="98"/>
                </w:rPr>
                <w:t>April 11, 2017).</w:t>
              </w:r>
            </w:hyperlink>
          </w:p>
        </w:tc>
        <w:tc>
          <w:tcPr>
            <w:tcW w:w="9380" w:type="dxa"/>
            <w:vAlign w:val="bottom"/>
            <w:tcBorders>
              <w:bottom w:val="single" w:sz="8" w:color="CCEEFF"/>
            </w:tcBorders>
            <w:gridSpan w:val="33"/>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2.2(a)</w:t>
            </w: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Stock and Unit Purchase Agreement, dated as of August 21, 2019, by and among Voyage Holdings, LLC, VMG Quest Blocker, Inc., VMG Voyage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500" w:type="dxa"/>
            <w:vAlign w:val="bottom"/>
            <w:tcBorders>
              <w:top w:val="single" w:sz="8" w:color="0000FF"/>
            </w:tcBorders>
            <w:gridSpan w:val="41"/>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Holdings, LLC, VMG Tax-Exempt II, L.P., The Michael K. Osborn and Kaplana P. Osborn Revocable Living Trust, The Ava M. Osborn 2018 Irrevocable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Gift Trust, The Cole M. Osborn 2018 Irrevocable Gift Trust, Ronald Penna and Thomas Bilyeu, Voyage Employee Holdings, LLC, Atkins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Nutritionals, Inc. and solely for the purposes of Section 8.10 therein, the Restricted Sellers (incorporated by reference to Exhibit 2.1 to our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gridSpan w:val="28"/>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on Form 8-K filed on August 22,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Second Amended and Restated Certificate of Incorporation of The Simply Good Foods Company (incorporated by reference to Exhibit 3.1 of our Current</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8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Report on Form 8-K filed on January 27,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Second Amended and Restated Bylaws (incorporated by reference to Exhibit 3.2 of our Current Report on Form 10-K filed on October 31, 2019).</w:t>
              </w:r>
            </w:hyperlink>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Form of Common Stock Certificate (incorporated by reference to Exhibit 4.1 to Amendment No. 3 to our Registration Statement on Form S-4 filed on</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June 12, 2017).</w:t>
              </w:r>
            </w:hyperlink>
          </w:p>
        </w:tc>
        <w:tc>
          <w:tcPr>
            <w:tcW w:w="912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Description of Securities (incorporated by reference to Exhibit 4.4 to our Annual Report on Form 10-K filed on October 28, 2020).</w:t>
              </w:r>
            </w:hyperlink>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Investor Rights Agreement, dated July 7, 2017, between The Simply Good Foods Company and Conyers Park Sponsor LLC (incorporated by reference to</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Exhibit 10.3 to our Current Report on Form 8-K filed on July 13, 2017).</w:t>
              </w:r>
            </w:hyperlink>
          </w:p>
        </w:tc>
        <w:tc>
          <w:tcPr>
            <w:tcW w:w="5580" w:type="dxa"/>
            <w:vAlign w:val="bottom"/>
            <w:tcBorders>
              <w:top w:val="single" w:sz="8" w:color="0000FF"/>
              <w:bottom w:val="single" w:sz="8" w:color="CCEEFF"/>
            </w:tcBorders>
            <w:gridSpan w:val="2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2017 Omnibus Incentive Plan (incorporated by reference to Exhibit 10.3 to Amendment No. 3 to Registration Statement on Form S-4 filed on June 12,</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2017).</w:t>
              </w:r>
            </w:hyperlink>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Indemnity Agreement (incorporated by reference to Exhibit 10.8 to Amendment No. 3 to our Registration Statement on Form S-4 filed on June</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7"/>
              </w:rPr>
            </w:pPr>
            <w:hyperlink r:id="rId109">
              <w:r>
                <w:rPr>
                  <w:rFonts w:ascii="Times New Roman" w:cs="Times New Roman" w:eastAsia="Times New Roman" w:hAnsi="Times New Roman"/>
                  <w:sz w:val="16"/>
                  <w:szCs w:val="16"/>
                  <w:color w:val="0000FF"/>
                  <w:w w:val="97"/>
                </w:rPr>
                <w:t>12, 2017).</w:t>
              </w:r>
            </w:hyperlink>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20" w:type="dxa"/>
            <w:vAlign w:val="bottom"/>
            <w:tcBorders>
              <w:top w:val="single" w:sz="8" w:color="0000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158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3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120" w:type="dxa"/>
            <w:vAlign w:val="bottom"/>
            <w:tcBorders>
              <w:top w:val="single" w:sz="8" w:color="0000FF"/>
              <w:bottom w:val="single" w:sz="8" w:color="CCEEFF"/>
            </w:tcBorders>
            <w:shd w:val="clear" w:color="auto" w:fill="CCEEFF"/>
          </w:tcPr>
          <w:p>
            <w:pPr>
              <w:spacing w:after="0"/>
              <w:rPr>
                <w:sz w:val="14"/>
                <w:szCs w:val="14"/>
                <w:color w:val="auto"/>
              </w:rPr>
            </w:pPr>
          </w:p>
        </w:tc>
        <w:tc>
          <w:tcPr>
            <w:tcW w:w="9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Credit Agreement, dated July 7, 2017, by and among Atkins Intermediate Holdings, LLC, Conyers Park Parent Merger Sub, Inc., Conyers Park</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520" w:type="dxa"/>
            <w:vAlign w:val="bottom"/>
            <w:tcBorders>
              <w:top w:val="single" w:sz="8" w:color="0000FF"/>
            </w:tcBorders>
            <w:gridSpan w:val="42"/>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Acquisition Corp., Conyers Park Merger Sub 1, Inc., Conyers Park Merger Sub 2, Inc., Conyers Park Merger Sub 3, Inc., Conyers Park Merger Sub 4,</w:t>
              </w:r>
            </w:hyperlink>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2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 NCP-ATK Holdings, Inc., Atkins Nutritionals Holdings, Inc., Atkins Nutritionals Holdings II, Inc., Atkins Nutritionals, Inc., the lenders party thereto</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and Barclays Bank PLC, as the Administrative Agent (incorporated by reference to Exhibit 10.1 to our Current Report on Form 8-K filed on July 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2017).</w:t>
              </w:r>
            </w:hyperlink>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Amendment No. 2 (Incremental Facility Amendment), dated as of November 7, 2019, by and among Atkins Intermediate Holdings, LLC, a Delaware</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limited liability company, Conyers Park Acquisition Corp., a Delaware corporation, Atkins Nutritionals, Inc., a New York corporation, Atkins Nutritionals</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8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Holdings, Inc., a Delaware corporation, Atkins Nutritionals Holdings II, Inc., a Delaware corporation, NCP-ATK Holdings, Inc., a Delaware corporation</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and the financial institutions set forth on Schedule A thereto as Additional Term Lenders, and acknowledged by Barclays Bank PLC, as administrative</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4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agent (incorporated by reference to Exhibit 10.1 of our Current Report on Form 8-K filed on November 7, 2019).</w:t>
              </w:r>
            </w:hyperlink>
          </w:p>
        </w:tc>
        <w:tc>
          <w:tcPr>
            <w:tcW w:w="284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Amendment No. 3 (Extension Amendment), dated as of December 16, 2021, by and among Atkins Intermediate Holdings, LLC, a Delaware limited</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40" w:type="dxa"/>
            <w:vAlign w:val="bottom"/>
            <w:tcBorders>
              <w:top w:val="single" w:sz="8" w:color="0000FF"/>
              <w:bottom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liability company, Conyers Park Acquisition Corp., a Delaware corporation, Simply Good Foods USA, Inc., a New York corporation, Atkins Nutritionals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60" w:type="dxa"/>
            <w:vAlign w:val="bottom"/>
            <w:gridSpan w:val="39"/>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Holdings, Inc., a Delaware corporation, Atkins Nutritionals Holdings II, Inc., a Delaware corporation, NCP-ATK Holdings, Inc., a Delaware corporation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and the financial institutions party thereto as Consenting Lenders and the Replacement Lender and Barclays Bank PLC, as administrative agent</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(incorporated by reference to Exhibit 10.1 to our Current Report on Form 8-K filed on December 22, 2021).</w:t>
              </w:r>
            </w:hyperlink>
          </w:p>
        </w:tc>
        <w:tc>
          <w:tcPr>
            <w:tcW w:w="100" w:type="dxa"/>
            <w:vAlign w:val="bottom"/>
            <w:gridSpan w:val="5"/>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Repricing Amendment, dated as of January 21, 2022, by and among Atkins Intermediate Holdings, LLC, a Delaware limited liability company, Conyers</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Park Acquisition Corp., a Delaware corporation, Simply Good Foods USA, Inc., a New York corporation, Atkins Nutritionals Holdings, Inc., a Delaware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520" w:type="dxa"/>
            <w:vAlign w:val="bottom"/>
            <w:tcBorders>
              <w:top w:val="single" w:sz="8" w:color="0000FF"/>
            </w:tcBorders>
            <w:gridSpan w:val="42"/>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corporation, Atkins Nutritionals Holdings II, Inc., a Delaware corporation, NCP-ATK Holdings, Inc., a Delaware corporation, the other guarantors party</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thereto, the financial institutions party thereto as Consenting Lenders and the Replacement Lender and Barclays Bank PLC, as administrative agent</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4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(incorporated by reference to Exhibit 10.1 to our Current Report on Form 8-K filed on January 25, 2022).</w:t>
              </w:r>
            </w:hyperlink>
          </w:p>
        </w:tc>
        <w:tc>
          <w:tcPr>
            <w:tcW w:w="320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Assignment, Assumption and Amendment Agreement, dated July 7, 2017, by and among The Simply Good Foods Company, Conyers Park Acquisition</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Corp. and Continental Stock Transfer &amp; Trust Company (incorporated by reference to Exhibit 10.7 to our Current Report on Form 8-K filed on July 13,</w:t>
              </w:r>
            </w:hyperlink>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2017).</w:t>
              </w:r>
            </w:hyperlink>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Amended and Restated Employment Agreement, dated July 7, 2017, between The Simply Good Foods Company and Joseph E. Scalzo (incorporated by</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2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reference to Exhibit 10.8 to our Current Report on Form 8-K filed on July 13, 2017).</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40" w:type="dxa"/>
            <w:vAlign w:val="bottom"/>
            <w:tcBorders>
              <w:top w:val="single" w:sz="8" w:color="CCEEFF"/>
            </w:tcBorders>
            <w:gridSpan w:val="1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Income Tax Receivable Agreement, dated July 7, 2017, by and among The Simply Good Foods Company, Atkins Holdings, LLC and Roark Capital</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Acquisition, LLC (solely in its capacity as the Stockholders’ Representative) (incorporated by reference to Exhibit 10.6 to our Current Report on Form 8-</w:t>
              </w:r>
            </w:hyperlink>
          </w:p>
        </w:tc>
        <w:tc>
          <w:tcPr>
            <w:tcW w:w="240" w:type="dxa"/>
            <w:vAlign w:val="bottom"/>
            <w:tcBorders>
              <w:bottom w:val="single" w:sz="8" w:color="0000FF"/>
            </w:tcBorders>
            <w:gridSpan w:val="1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0" w:type="dxa"/>
            <w:vAlign w:val="bottom"/>
            <w:gridSpan w:val="3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K filed on July 13, 2017).</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gridSpan w:val="43"/>
            <w:shd w:val="clear" w:color="auto" w:fill="CCEEFF"/>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Termination Agreement, dated November 14, 2018, among The Simply Good Foods Company, Atkins Holdings, LLC and Roark Capital Acquisition,</w:t>
              </w:r>
            </w:hyperlink>
          </w:p>
        </w:tc>
      </w:tr>
      <w:tr>
        <w:trPr>
          <w:trHeight w:val="162"/>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60" w:type="dxa"/>
            <w:vAlign w:val="bottom"/>
            <w:tcBorders>
              <w:top w:val="single" w:sz="8" w:color="0000FF"/>
              <w:bottom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LLC (incorporated by reference to Exhibit 10.1 to our Current Report on Form 8-K filed on November 16, 2018).</w:t>
              </w:r>
            </w:hyperlink>
          </w:p>
        </w:tc>
        <w:tc>
          <w:tcPr>
            <w:tcW w:w="3140" w:type="dxa"/>
            <w:vAlign w:val="bottom"/>
            <w:tcBorders>
              <w:top w:val="single" w:sz="8" w:color="0000FF"/>
              <w:bottom w:val="single" w:sz="8" w:color="CCEEFF"/>
            </w:tcBorders>
            <w:gridSpan w:val="2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20" w:type="dxa"/>
            <w:vAlign w:val="bottom"/>
          </w:tcPr>
          <w:p>
            <w:pPr>
              <w:spacing w:after="0"/>
              <w:rPr>
                <w:sz w:val="15"/>
                <w:szCs w:val="15"/>
                <w:color w:val="auto"/>
              </w:rPr>
            </w:pPr>
          </w:p>
        </w:tc>
        <w:tc>
          <w:tcPr>
            <w:tcW w:w="10540" w:type="dxa"/>
            <w:vAlign w:val="bottom"/>
            <w:gridSpan w:val="43"/>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Offer Letter, dated June 19, 2017, between Atkins Nutritionals, Inc. and Todd Cunfer (incorporated by reference to Exhibit 10.1 to our Current Report on</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our Current Report on Current Report on Form 8-K filed on August 11, 2017).</w:t>
              </w:r>
            </w:hyperlink>
          </w:p>
        </w:tc>
        <w:tc>
          <w:tcPr>
            <w:tcW w:w="5400" w:type="dxa"/>
            <w:vAlign w:val="bottom"/>
            <w:tcBorders>
              <w:top w:val="single" w:sz="8" w:color="0000FF"/>
            </w:tcBorders>
            <w:gridSpan w:val="31"/>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9"/>
                <w:szCs w:val="19"/>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5"/>
        </w:trPr>
        <w:tc>
          <w:tcPr>
            <w:tcW w:w="102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200" w:type="dxa"/>
            <w:vAlign w:val="bottom"/>
            <w:tcBorders>
              <w:top w:val="single" w:sz="8" w:color="auto"/>
            </w:tcBorders>
            <w:gridSpan w:val="23"/>
            <w:shd w:val="clear" w:color="auto" w:fill="CCEEFF"/>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Letter Agreement, dated August 21, 2017, between The Simply Good Foods Company and Todd Cunfer (incorporated by reference to Exhibit 10.2 to</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80" w:type="dxa"/>
            <w:vAlign w:val="bottom"/>
            <w:tcBorders>
              <w:top w:val="single" w:sz="8" w:color="0000FF"/>
              <w:bottom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Amendment No. 1 to our Current Report on Form 8-K filed on August 25, 2017).</w:t>
              </w:r>
            </w:hyperlink>
          </w:p>
        </w:tc>
        <w:tc>
          <w:tcPr>
            <w:tcW w:w="482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Repricing Amendment, dated March 16, 2018, by and among Atkins Intermediate Holdings, LLC, Conyers Park Acquisition Corp., Atkins Nutritionals,</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Inc., Atkins Nutritionals Holdings, Inc., Atkins Nutritionals Holdings II, Inc. and NCP-ATK Holdings, Inc. and Barclays Bank PLC (incorporated by</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gridSpan w:val="22"/>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reference to Exhibit 10.1 to our Current Report on Form 8-K filed on March 20, 2018).</w:t>
              </w:r>
            </w:hyperlink>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20" w:type="dxa"/>
            <w:vAlign w:val="bottom"/>
            <w:shd w:val="clear" w:color="auto" w:fill="CCEEFF"/>
          </w:tcPr>
          <w:p>
            <w:pPr>
              <w:spacing w:after="0"/>
              <w:rPr>
                <w:sz w:val="15"/>
                <w:szCs w:val="15"/>
                <w:color w:val="auto"/>
              </w:rPr>
            </w:pPr>
          </w:p>
        </w:tc>
        <w:tc>
          <w:tcPr>
            <w:tcW w:w="10200" w:type="dxa"/>
            <w:vAlign w:val="bottom"/>
            <w:gridSpan w:val="23"/>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The Simply Good Foods Company Amended and Restated Executive Severance Compensation Plan (Effective January 20, 2022) (incorporated by</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7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reference to Exhibit 10.2 to our Current Report on Form 8-K filed on January 25, 2022).</w:t>
              </w:r>
            </w:hyperlink>
          </w:p>
        </w:tc>
        <w:tc>
          <w:tcPr>
            <w:tcW w:w="436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20" w:type="dxa"/>
            <w:vAlign w:val="bottom"/>
          </w:tcPr>
          <w:p>
            <w:pPr>
              <w:spacing w:after="0"/>
              <w:rPr>
                <w:sz w:val="15"/>
                <w:szCs w:val="15"/>
                <w:color w:val="auto"/>
              </w:rPr>
            </w:pPr>
          </w:p>
        </w:tc>
        <w:tc>
          <w:tcPr>
            <w:tcW w:w="10200" w:type="dxa"/>
            <w:vAlign w:val="bottom"/>
            <w:gridSpan w:val="23"/>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Form of Executive Severance Compensation Plan, Tier I Participation Agreement, dated July 23, 2018 (incorporated by reference to Exhibit 10.2 to our</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Current Report on Form 8-K filed on July 27, 2018).</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20" w:type="dxa"/>
            <w:vAlign w:val="bottom"/>
            <w:shd w:val="clear" w:color="auto" w:fill="CCEEFF"/>
          </w:tcPr>
          <w:p>
            <w:pPr>
              <w:spacing w:after="0"/>
              <w:rPr>
                <w:sz w:val="15"/>
                <w:szCs w:val="15"/>
                <w:color w:val="auto"/>
              </w:rPr>
            </w:pPr>
          </w:p>
        </w:tc>
        <w:tc>
          <w:tcPr>
            <w:tcW w:w="10200" w:type="dxa"/>
            <w:vAlign w:val="bottom"/>
            <w:gridSpan w:val="23"/>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First Amendment to Amended and Restated Employment Agreement, dated October 16, 2019, between The Simply Good Foods Company and Joseph E.</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4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Scalzo. (Incorporated by reference to Exhibit 10.1 to our Current Report on Form 8-K filed on October 18, 2019)</w:t>
              </w:r>
            </w:hyperlink>
          </w:p>
        </w:tc>
        <w:tc>
          <w:tcPr>
            <w:tcW w:w="282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20" w:type="dxa"/>
            <w:vAlign w:val="bottom"/>
          </w:tcPr>
          <w:p>
            <w:pPr>
              <w:spacing w:after="0"/>
              <w:rPr>
                <w:sz w:val="15"/>
                <w:szCs w:val="15"/>
                <w:color w:val="auto"/>
              </w:rPr>
            </w:pPr>
          </w:p>
        </w:tc>
        <w:tc>
          <w:tcPr>
            <w:tcW w:w="10200" w:type="dxa"/>
            <w:vAlign w:val="bottom"/>
            <w:gridSpan w:val="23"/>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Employment Agreement, dated November 5, 2019, between Quest Nutrition, LLC and David Ritterbush (incorporated by reference to Exhibit 10.2 of our</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Current Report on Form 8-K (File No. 001-38115) filed on November 7,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20" w:type="dxa"/>
            <w:vAlign w:val="bottom"/>
            <w:shd w:val="clear" w:color="auto" w:fill="CCEEFF"/>
          </w:tcPr>
          <w:p>
            <w:pPr>
              <w:spacing w:after="0"/>
              <w:rPr>
                <w:sz w:val="15"/>
                <w:szCs w:val="15"/>
                <w:color w:val="auto"/>
              </w:rPr>
            </w:pPr>
          </w:p>
        </w:tc>
        <w:tc>
          <w:tcPr>
            <w:tcW w:w="10200" w:type="dxa"/>
            <w:vAlign w:val="bottom"/>
            <w:gridSpan w:val="23"/>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2017 Omnibus Incentive Plan, as amended from time to time Policy Regarding Treatment of Awards in the Event of an Awardee’s Retirement</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00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(incorporated by reference to Exhibit 10.18 to our Annual Report on Form 10-K filed on October 28, 2020).</w:t>
              </w:r>
            </w:hyperlink>
          </w:p>
        </w:tc>
        <w:tc>
          <w:tcPr>
            <w:tcW w:w="314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20" w:type="dxa"/>
            <w:vAlign w:val="bottom"/>
          </w:tcPr>
          <w:p>
            <w:pPr>
              <w:spacing w:after="0"/>
              <w:rPr>
                <w:sz w:val="15"/>
                <w:szCs w:val="15"/>
                <w:color w:val="auto"/>
              </w:rPr>
            </w:pPr>
          </w:p>
        </w:tc>
        <w:tc>
          <w:tcPr>
            <w:tcW w:w="10200" w:type="dxa"/>
            <w:vAlign w:val="bottom"/>
            <w:gridSpan w:val="23"/>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Second Amendment to the Amended and Restated Employment Agreement, dated as of August 13, 2021 by and between The Simply Good Foods</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Company and Joseph Scalzo. (Incorporated by reference to Exhibit 10.1 to our Current Report on Form 8-K filed on August 13, 2021.)</w:t>
              </w:r>
            </w:hyperlink>
          </w:p>
        </w:tc>
        <w:tc>
          <w:tcPr>
            <w:tcW w:w="160" w:type="dxa"/>
            <w:vAlign w:val="bottom"/>
            <w:gridSpan w:val="8"/>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The Simply Good Foods Company.</w:t>
            </w:r>
          </w:p>
        </w:tc>
        <w:tc>
          <w:tcPr>
            <w:tcW w:w="6900" w:type="dxa"/>
            <w:vAlign w:val="bottom"/>
            <w:tcBorders>
              <w:bottom w:val="single" w:sz="8" w:color="CCEEFF"/>
            </w:tcBorders>
            <w:gridSpan w:val="21"/>
            <w:shd w:val="clear" w:color="auto" w:fill="CCEEFF"/>
          </w:tcPr>
          <w:p>
            <w:pPr>
              <w:spacing w:after="0"/>
              <w:rPr>
                <w:sz w:val="17"/>
                <w:szCs w:val="17"/>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0000FF"/>
            </w:tcBorders>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c>
          <w:tcPr>
            <w:tcW w:w="3480" w:type="dxa"/>
            <w:vAlign w:val="bottom"/>
            <w:tcBorders>
              <w:bottom w:val="single" w:sz="8" w:color="CCEEFF"/>
            </w:tcBorders>
            <w:gridSpan w:val="14"/>
            <w:shd w:val="clear" w:color="auto" w:fill="CCEEFF"/>
          </w:tcPr>
          <w:p>
            <w:pPr>
              <w:spacing w:after="0"/>
              <w:rPr>
                <w:sz w:val="17"/>
                <w:szCs w:val="17"/>
                <w:color w:val="auto"/>
              </w:rPr>
            </w:pPr>
          </w:p>
        </w:tc>
      </w:tr>
      <w:tr>
        <w:trPr>
          <w:trHeight w:val="176"/>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3"/>
        </w:trPr>
        <w:tc>
          <w:tcPr>
            <w:tcW w:w="11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Borders>
              <w:top w:val="single" w:sz="8" w:color="CCEEFF"/>
            </w:tcBorders>
          </w:tcPr>
          <w:p>
            <w:pPr>
              <w:spacing w:after="0"/>
              <w:rPr>
                <w:sz w:val="18"/>
                <w:szCs w:val="18"/>
                <w:color w:val="auto"/>
              </w:rPr>
            </w:pPr>
          </w:p>
        </w:tc>
        <w:tc>
          <w:tcPr>
            <w:tcW w:w="82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980" w:type="dxa"/>
            <w:vAlign w:val="bottom"/>
            <w:tcBorders>
              <w:top w:val="single" w:sz="8" w:color="CCEEFF"/>
            </w:tcBorders>
            <w:gridSpan w:val="11"/>
          </w:tcPr>
          <w:p>
            <w:pPr>
              <w:spacing w:after="0"/>
              <w:rPr>
                <w:sz w:val="18"/>
                <w:szCs w:val="18"/>
                <w:color w:val="auto"/>
              </w:rPr>
            </w:pP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102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102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102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1180" w:hanging="1154"/>
        <w:spacing w:after="0"/>
        <w:tabs>
          <w:tab w:leader="none" w:pos="11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9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____________________</w:t>
      </w:r>
    </w:p>
    <w:p>
      <w:pPr>
        <w:spacing w:after="0" w:line="153" w:lineRule="exact"/>
        <w:rPr>
          <w:sz w:val="20"/>
          <w:szCs w:val="20"/>
          <w:color w:val="auto"/>
        </w:rPr>
      </w:pPr>
    </w:p>
    <w:p>
      <w:pPr>
        <w:ind w:left="360" w:hanging="334"/>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32" w:lineRule="exact"/>
        <w:rPr>
          <w:sz w:val="20"/>
          <w:szCs w:val="20"/>
          <w:color w:val="auto"/>
        </w:rPr>
      </w:pPr>
    </w:p>
    <w:p>
      <w:pPr>
        <w:ind w:left="360" w:right="440" w:hanging="334"/>
        <w:spacing w:after="0" w:line="245" w:lineRule="auto"/>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00" w:lineRule="exact"/>
        <w:rPr>
          <w:sz w:val="20"/>
          <w:szCs w:val="20"/>
          <w:color w:val="auto"/>
        </w:rPr>
      </w:pPr>
    </w:p>
    <w:p>
      <w:pPr>
        <w:spacing w:after="0" w:line="239"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By: /s/ Joseph E. Scalzo</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w:t>
            </w:r>
          </w:p>
        </w:tc>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October 21, 2022</w:t>
            </w:r>
          </w:p>
        </w:tc>
        <w:tc>
          <w:tcPr>
            <w:tcW w:w="11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5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Name: Joseph E. Scalzo</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Title: 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4" w:right="459" w:bottom="1440" w:gutter="0" w:footer="0" w:header="0"/>
        </w:sectPr>
      </w:pPr>
    </w:p>
    <w:bookmarkStart w:id="91" w:name="page92"/>
    <w:bookmarkEnd w:id="91"/>
    <w:p>
      <w:pPr>
        <w:ind w:firstLine="2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88" w:right="339" w:bottom="1440" w:gutter="0" w:footer="0" w:header="0"/>
        </w:sectPr>
      </w:pPr>
    </w:p>
    <w:p>
      <w:pPr>
        <w:spacing w:after="0" w:line="367"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232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82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Timothy A. Matthews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A. Matthews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M. Kilts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Kilts</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Clayton C. Daley, Jr.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Clayton C. Daley, Jr.</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Nomi P. Ghez</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Nomi P. Ghez</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Michelle P. Goolsby</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Michelle P. Goolsby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G. Montgomery</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G. Montgomery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Brian K. Ratzan</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K. Ratzan</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W. Ritterbush</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W. Ritterbush</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J. Schena</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J. Schena</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J. West</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J. West</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D. White</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D. White</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2022</w:t>
      </w:r>
    </w:p>
    <w:p>
      <w:pPr>
        <w:spacing w:after="0" w:line="482" w:lineRule="exact"/>
        <w:rPr>
          <w:sz w:val="20"/>
          <w:szCs w:val="20"/>
          <w:color w:val="auto"/>
        </w:rPr>
      </w:pPr>
    </w:p>
    <w:p>
      <w:pPr>
        <w:sectPr>
          <w:pgSz w:w="11900" w:h="16838" w:orient="portrait"/>
          <w:cols w:equalWidth="0" w:num="2">
            <w:col w:w="7760" w:space="600"/>
            <w:col w:w="2880"/>
          </w:cols>
          <w:pgMar w:left="320" w:top="688"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688"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Simply Good Foods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Intermediate Holdings, LLC</w:t>
            </w:r>
          </w:p>
        </w:tc>
        <w:tc>
          <w:tcPr>
            <w:tcW w:w="478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Conyers Park Acquisition Corp., Inc.</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NCP-ATK Holdings, Inc.</w:t>
            </w:r>
          </w:p>
        </w:tc>
        <w:tc>
          <w:tcPr>
            <w:tcW w:w="478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Atkins Nutritional Holdings, Inc.</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Nutritional Holdings II, Inc.</w:t>
            </w:r>
          </w:p>
        </w:tc>
        <w:tc>
          <w:tcPr>
            <w:tcW w:w="478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Simply Good Foods USA, Inc.</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5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Simply Good Foods Canada Inc.</w:t>
            </w:r>
          </w:p>
        </w:tc>
        <w:tc>
          <w:tcPr>
            <w:tcW w:w="478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Simply Good Foods Australia PTY LTD</w:t>
            </w:r>
          </w:p>
        </w:tc>
        <w:tc>
          <w:tcPr>
            <w:tcW w:w="47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Simply Good Foods NZ Limited</w:t>
            </w:r>
          </w:p>
        </w:tc>
        <w:tc>
          <w:tcPr>
            <w:tcW w:w="478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VMG Quest Blocker, Inc.</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Voyage Holdings, LLC</w:t>
            </w:r>
          </w:p>
        </w:tc>
        <w:tc>
          <w:tcPr>
            <w:tcW w:w="478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Quest Nutrition, LLC</w:t>
            </w:r>
          </w:p>
        </w:tc>
        <w:tc>
          <w:tcPr>
            <w:tcW w:w="47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220"/>
          </w:cols>
          <w:pgMar w:left="134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333-220776 on Form S-8 and Nos. 333-228696 and 333-234004 on Form S-3 of our reports dated October 21, 2022,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fifty-two weeks ended August 27,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21, 2022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47"/>
        </w:trPr>
        <w:tc>
          <w:tcPr>
            <w:tcW w:w="2320" w:type="dxa"/>
            <w:vAlign w:val="bottom"/>
            <w:vMerge w:val="restart"/>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32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21, 2022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59"/>
        </w:trPr>
        <w:tc>
          <w:tcPr>
            <w:tcW w:w="232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Simply Good Foods Company (the “Company”) on Form 10-K for the fiscal year ended August 27, 2022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21, 2022</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21, 2022</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
      <w:numFmt w:val="bullet"/>
      <w:start w:val="1"/>
    </w:lvl>
    <w:lvl w:ilvl="1">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4"/>
    </w:lvl>
  </w:abstractNum>
  <w:abstractNum w:abstractNumId="26">
    <w:nsid w:val="614FD4A1"/>
    <w:multiLevelType w:val="hybridMultilevel"/>
    <w:lvl w:ilvl="0">
      <w:lvlJc w:val="left"/>
      <w:lvlText w:val="%1."/>
      <w:numFmt w:val="decimal"/>
      <w:start w:val="5"/>
    </w:lvl>
  </w:abstractNum>
  <w:abstractNum w:abstractNumId="27">
    <w:nsid w:val="419AC241"/>
    <w:multiLevelType w:val="hybridMultilevel"/>
    <w:lvl w:ilvl="0">
      <w:lvlJc w:val="left"/>
      <w:lvlText w:val="%1."/>
      <w:numFmt w:val="decimal"/>
      <w:start w:val="6"/>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decimal"/>
      <w:start w:val="9"/>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04"/>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37">
    <w:nsid w:val="51EAD36B"/>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38">
    <w:nsid w:val="2D517796"/>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39">
    <w:nsid w:val="580BD78F"/>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40">
    <w:nsid w:val="153EA43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9"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01" Type="http://schemas.openxmlformats.org/officeDocument/2006/relationships/hyperlink" Target="http://www.sec.gov/Archives/edgar/data/1672985/000121390017003619/fs42017_simplygoodfood.htm" TargetMode="External"/><Relationship Id="rId102" Type="http://schemas.openxmlformats.org/officeDocument/2006/relationships/hyperlink" Target="http://www.sec.gov/Archives/edgar/data/1702744/000110465919046862/a19-17478_1ex2d1.htm" TargetMode="External"/><Relationship Id="rId103" Type="http://schemas.openxmlformats.org/officeDocument/2006/relationships/hyperlink" Target="https://www.sec.gov/Archives/edgar/data/1702744/000170274420000011/secondamendedandrestat.htm" TargetMode="External"/><Relationship Id="rId104" Type="http://schemas.openxmlformats.org/officeDocument/2006/relationships/hyperlink" Target="https://www.sec.gov/Archives/edgar/data/1702744/000170274419000048/exhibit32-10k19.htm" TargetMode="External"/><Relationship Id="rId105" Type="http://schemas.openxmlformats.org/officeDocument/2006/relationships/hyperlink" Target="http://www.sec.gov/Archives/edgar/data/1672985/000121390017006350/fs42017ex4i_simplygood.htm" TargetMode="External"/><Relationship Id="rId106" Type="http://schemas.openxmlformats.org/officeDocument/2006/relationships/hyperlink" Target="https://www.sec.gov/Archives/edgar/data/1702744/000170274420000100/exhibit44-10k2020.htm" TargetMode="External"/><Relationship Id="rId107" Type="http://schemas.openxmlformats.org/officeDocument/2006/relationships/hyperlink" Target="https://www.sec.gov/Archives/edgar/data/1702744/000121390017007546/f8k070717ex10iii_simplygood.htm" TargetMode="External"/><Relationship Id="rId108" Type="http://schemas.openxmlformats.org/officeDocument/2006/relationships/hyperlink" Target="http://www.sec.gov/Archives/edgar/data/1672985/000121390017006350/fs42017ex10iii_simplygood.htm" TargetMode="External"/><Relationship Id="rId109" Type="http://schemas.openxmlformats.org/officeDocument/2006/relationships/hyperlink" Target="http://www.sec.gov/Archives/edgar/data/1672985/000121390017006350/fs42017ex10viii_simplygood.htm" TargetMode="External"/><Relationship Id="rId110" Type="http://schemas.openxmlformats.org/officeDocument/2006/relationships/hyperlink" Target="http://www.sec.gov/Archives/edgar/data/1702744/000121390017007546/f8k070717ex10i_simplygood.htm" TargetMode="External"/><Relationship Id="rId111" Type="http://schemas.openxmlformats.org/officeDocument/2006/relationships/hyperlink" Target="https://www.sec.gov/Archives/edgar/data/1702744/000110465919060856/a19-22146_1ex10d1.htm" TargetMode="External"/><Relationship Id="rId112" Type="http://schemas.openxmlformats.org/officeDocument/2006/relationships/hyperlink" Target="https://www.sec.gov/Archives/edgar/data/1702744/000110465921152628/tm2136016d1_ex10-1.htm" TargetMode="External"/><Relationship Id="rId113" Type="http://schemas.openxmlformats.org/officeDocument/2006/relationships/hyperlink" Target="https://www.sec.gov/Archives/edgar/data/1702744/000110465922007427/tm224221d1_ex10-1.htm" TargetMode="External"/><Relationship Id="rId114" Type="http://schemas.openxmlformats.org/officeDocument/2006/relationships/hyperlink" Target="http://www.sec.gov/Archives/edgar/data/1702744/000121390017007546/f8k070717ex10vii_simplygood.htm" TargetMode="External"/><Relationship Id="rId115" Type="http://schemas.openxmlformats.org/officeDocument/2006/relationships/hyperlink" Target="http://www.sec.gov/Archives/edgar/data/1702744/000121390017007546/f8k070717ex10viii_simplygood.htm" TargetMode="External"/><Relationship Id="rId116" Type="http://schemas.openxmlformats.org/officeDocument/2006/relationships/hyperlink" Target="http://www.sec.gov/Archives/edgar/data/1702744/000121390017007546/f8k070717ex10vi_simplygood.htm" TargetMode="External"/><Relationship Id="rId117" Type="http://schemas.openxmlformats.org/officeDocument/2006/relationships/hyperlink" Target="http://www.sec.gov/Archives/edgar/data/1702744/000170274418000072/traterminationagreement.htm" TargetMode="External"/><Relationship Id="rId118" Type="http://schemas.openxmlformats.org/officeDocument/2006/relationships/hyperlink" Target="http://www.sec.gov/Archives/edgar/data/1702744/000170274417000006/exhibit101.htm" TargetMode="External"/><Relationship Id="rId120" Type="http://schemas.openxmlformats.org/officeDocument/2006/relationships/hyperlink" Target="http://www.sec.gov/Archives/edgar/data/1702744/000170274417000009/exhibit102_8ka.htm" TargetMode="External"/><Relationship Id="rId121" Type="http://schemas.openxmlformats.org/officeDocument/2006/relationships/hyperlink" Target="http://www.sec.gov/Archives/edgar/data/1702744/000121390018003172/f8k032018_simplygoodfood.htm" TargetMode="External"/><Relationship Id="rId122" Type="http://schemas.openxmlformats.org/officeDocument/2006/relationships/hyperlink" Target="https://www.sec.gov/Archives/edgar/data/1702744/000110465922007427/tm224221d1_ex10-2.htm" TargetMode="External"/><Relationship Id="rId123" Type="http://schemas.openxmlformats.org/officeDocument/2006/relationships/hyperlink" Target="http://www.sec.gov/Archives/edgar/data/1702744/000170274418000057/smpl_072718x8kxex102.htm" TargetMode="External"/><Relationship Id="rId124" Type="http://schemas.openxmlformats.org/officeDocument/2006/relationships/hyperlink" Target="http://www.sec.gov/Archives/edgar/data/1702744/000170274419000044/smpl_exhibitx101.htm" TargetMode="External"/><Relationship Id="rId125" Type="http://schemas.openxmlformats.org/officeDocument/2006/relationships/hyperlink" Target="https://www.sec.gov/Archives/edgar/data/1702744/000110465919060856/a19-22146_1ex10d2.htm" TargetMode="External"/><Relationship Id="rId126" Type="http://schemas.openxmlformats.org/officeDocument/2006/relationships/hyperlink" Target="https://www.sec.gov/Archives/edgar/data/1702744/000170274420000100/exhibit1018-10k2020.htm" TargetMode="External"/><Relationship Id="rId127" Type="http://schemas.openxmlformats.org/officeDocument/2006/relationships/hyperlink" Target="https://www.sec.gov/Archives/edgar/data/1702744/000170274421000077/a101_q4x2021xemploymentx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2022-10-21T12:57:32Z</dcterms:created>
  <dcterms:modified xsi:type="dcterms:W3CDTF">2022-10-21T12:57:32Z</dcterms:modified>
</cp:coreProperties>
</file>