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1980" w:right="620" w:hanging="777"/>
        <w:spacing w:after="0" w:line="235" w:lineRule="auto"/>
        <w:tabs>
          <w:tab w:leader="none" w:pos="19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August 31, 2024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3" w:lineRule="exact"/>
        <w:rPr>
          <w:sz w:val="24"/>
          <w:szCs w:val="24"/>
          <w:color w:val="auto"/>
        </w:rPr>
      </w:pPr>
    </w:p>
    <w:p>
      <w:pPr>
        <w:ind w:left="1980" w:right="620" w:hanging="777"/>
        <w:spacing w:after="0" w:line="235" w:lineRule="auto"/>
        <w:tabs>
          <w:tab w:leader="none" w:pos="19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 to ______</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1019" w:right="339" w:bottom="0" w:gutter="0" w:footer="0" w:header="0"/>
        </w:sectPr>
      </w:pPr>
    </w:p>
    <w:p>
      <w:pPr>
        <w:spacing w:after="0" w:line="16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38" w:orient="portrait"/>
          <w:cols w:equalWidth="0" w:num="2">
            <w:col w:w="8100" w:space="720"/>
            <w:col w:w="2420"/>
          </w:cols>
          <w:pgMar w:left="320" w:top="1019" w:right="339" w:bottom="0" w:gutter="0" w:footer="0" w:header="0"/>
          <w:type w:val="continuous"/>
        </w:sectPr>
      </w:pPr>
    </w:p>
    <w:tbl>
      <w:tblPr>
        <w:tblLayout w:type="fixed"/>
        <w:tblInd w:w="860" w:type="dxa"/>
        <w:tblCellMar>
          <w:top w:w="0" w:type="dxa"/>
          <w:left w:w="0" w:type="dxa"/>
          <w:bottom w:w="0" w:type="dxa"/>
          <w:right w:w="0" w:type="dxa"/>
        </w:tblCellMar>
      </w:tblPr>
      <w:tr>
        <w:trPr>
          <w:trHeight w:val="184"/>
        </w:trPr>
        <w:tc>
          <w:tcPr>
            <w:tcW w:w="4580" w:type="dxa"/>
            <w:vAlign w:val="bottom"/>
          </w:tcPr>
          <w:p>
            <w:pPr>
              <w:jc w:val="center"/>
              <w:ind w:right="25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0" w:type="dxa"/>
            <w:vAlign w:val="bottom"/>
            <w:vMerge w:val="restart"/>
          </w:tcPr>
          <w:p>
            <w:pPr>
              <w:ind w:left="264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580" w:type="dxa"/>
            <w:vAlign w:val="bottom"/>
            <w:vMerge w:val="restart"/>
          </w:tcPr>
          <w:p>
            <w:pPr>
              <w:jc w:val="center"/>
              <w:ind w:right="25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10"/>
        </w:trPr>
        <w:tc>
          <w:tcPr>
            <w:tcW w:w="3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r>
        <w:trPr>
          <w:trHeight w:val="204"/>
        </w:trPr>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4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9" w:right="339" w:bottom="0" w:gutter="0" w:footer="0" w:header="0"/>
          <w:type w:val="continuous"/>
        </w:sectPr>
      </w:pPr>
    </w:p>
    <w:bookmarkStart w:id="1" w:name="page2"/>
    <w:bookmarkEnd w:id="1"/>
    <w:p>
      <w:pPr>
        <w:spacing w:after="0" w:line="5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ind w:left="76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4820" w:space="100"/>
            <w:col w:w="160" w:space="680"/>
            <w:col w:w="5480"/>
          </w:cols>
          <w:pgMar w:left="320" w:top="148" w:right="339" w:bottom="1440" w:gutter="0" w:footer="0" w:header="0"/>
        </w:sectPr>
      </w:pPr>
    </w:p>
    <w:p>
      <w:pPr>
        <w:spacing w:after="0" w:line="15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February 23, 2024, the last trading day of the registrant’s most recently completed second fiscal quarter was approximately $3.3 billion based on the closing price of $35.59 for one share of common stock, as reported on the Nasdaq Capital Market on that date.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18, 2024, there were 100,221,529 shares of common stock, par value $0.01 per share, issued and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ind w:firstLine="224"/>
        <w:spacing w:after="0" w:line="239" w:lineRule="exact"/>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2025 annual meeting of stockholders, to be filed within 120 days after the end of fiscal year ended August 31, 2024, are incorporated by reference into Part III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7A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9B</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16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SIGNATURES</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2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1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1"/>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780" w:type="dxa"/>
            <w:vAlign w:val="bottom"/>
            <w:gridSpan w:val="15"/>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0" w:type="dxa"/>
            <w:vAlign w:val="bottom"/>
            <w:gridSpan w:val="9"/>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20"/>
                <w:szCs w:val="20"/>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160" w:type="dxa"/>
            <w:vAlign w:val="bottom"/>
            <w:gridSpan w:val="1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00" w:type="dxa"/>
            <w:vAlign w:val="bottom"/>
            <w:gridSpan w:val="21"/>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880" w:type="dxa"/>
            <w:vAlign w:val="bottom"/>
            <w:gridSpan w:val="20"/>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412"/>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16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156"/>
        </w:trPr>
        <w:tc>
          <w:tcPr>
            <w:tcW w:w="732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Securities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80" w:type="dxa"/>
            <w:vAlign w:val="bottom"/>
            <w:gridSpan w:val="23"/>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20"/>
                <w:szCs w:val="20"/>
                <w:color w:val="auto"/>
              </w:rPr>
            </w:pP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840" w:type="dxa"/>
            <w:vAlign w:val="bottom"/>
            <w:gridSpan w:val="6"/>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40" w:type="dxa"/>
            <w:vAlign w:val="bottom"/>
            <w:gridSpan w:val="3"/>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0"/>
                <w:szCs w:val="20"/>
                <w:color w:val="auto"/>
              </w:rPr>
            </w:pPr>
          </w:p>
        </w:tc>
        <w:tc>
          <w:tcPr>
            <w:tcW w:w="6440" w:type="dxa"/>
            <w:vAlign w:val="bottom"/>
            <w:gridSpan w:val="18"/>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300" w:type="dxa"/>
            <w:vAlign w:val="bottom"/>
            <w:gridSpan w:val="5"/>
          </w:tcPr>
          <w:p>
            <w:pPr>
              <w:spacing w:after="0"/>
              <w:rPr>
                <w:sz w:val="21"/>
                <w:szCs w:val="21"/>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82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2320" w:type="dxa"/>
            <w:vAlign w:val="bottom"/>
            <w:gridSpan w:val="11"/>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20" w:type="dxa"/>
            <w:vAlign w:val="bottom"/>
            <w:gridSpan w:val="2"/>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760" w:type="dxa"/>
            <w:vAlign w:val="bottom"/>
            <w:gridSpan w:val="4"/>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3"/>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200" w:type="dxa"/>
            <w:vAlign w:val="bottom"/>
            <w:gridSpan w:val="3"/>
          </w:tcPr>
          <w:p>
            <w:pPr>
              <w:spacing w:after="0"/>
              <w:rPr>
                <w:sz w:val="20"/>
                <w:szCs w:val="20"/>
                <w:color w:val="auto"/>
              </w:rPr>
            </w:pPr>
          </w:p>
        </w:tc>
        <w:tc>
          <w:tcPr>
            <w:tcW w:w="720" w:type="dxa"/>
            <w:vAlign w:val="bottom"/>
            <w:tcBorders>
              <w:top w:val="single" w:sz="8" w:color="0000FF"/>
            </w:tcBorders>
            <w:gridSpan w:val="5"/>
          </w:tcPr>
          <w:p>
            <w:pPr>
              <w:spacing w:after="0"/>
              <w:rPr>
                <w:sz w:val="20"/>
                <w:szCs w:val="20"/>
                <w:color w:val="auto"/>
              </w:rPr>
            </w:pPr>
          </w:p>
        </w:tc>
        <w:tc>
          <w:tcPr>
            <w:tcW w:w="4120" w:type="dxa"/>
            <w:vAlign w:val="bottom"/>
            <w:gridSpan w:val="7"/>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040" w:type="dxa"/>
            <w:vAlign w:val="bottom"/>
            <w:gridSpan w:val="1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40" w:type="dxa"/>
            <w:vAlign w:val="bottom"/>
            <w:gridSpan w:val="15"/>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00" w:space="180"/>
            <w:col w:w="8580"/>
          </w:cols>
          <w:pgMar w:left="960" w:top="927" w:right="10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reflect our current views with respect to future events,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ability to achieve our estimates of OWYN’s net sales and Adjusted EBITDA and our anticipated synergies from the OWYN Acquisition, our net leverage ratio post-acquisition, our Adjusted EPS post-acquisition, our ability to maintain OWYN personnel and effectively integrate OWYN, our operations being dependent on changes in consumer preferences and purchasing habits regarding our products, a global supply chain and effects of supply chain constraints and inflationary pressure on us and our contract manufacturers, our ability to continue to operate at a profit or to maintain our margins, the effect pandemics or other global disruptions on our business, financial condition and results of operations,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except as required by applicable law,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71" w:lineRule="exact"/>
        <w:rPr>
          <w:sz w:val="20"/>
          <w:szCs w:val="20"/>
          <w:color w:val="auto"/>
        </w:rPr>
      </w:pPr>
    </w:p>
    <w:p>
      <w:pPr>
        <w:jc w:val="both"/>
        <w:ind w:firstLine="182"/>
        <w:spacing w:after="0" w:line="250" w:lineRule="auto"/>
        <w:rPr>
          <w:sz w:val="20"/>
          <w:szCs w:val="20"/>
          <w:color w:val="auto"/>
        </w:rPr>
      </w:pPr>
      <w:r>
        <w:rPr>
          <w:rFonts w:ascii="Times New Roman" w:cs="Times New Roman" w:eastAsia="Times New Roman" w:hAnsi="Times New Roman"/>
          <w:sz w:val="18"/>
          <w:szCs w:val="18"/>
          <w:color w:val="auto"/>
        </w:rPr>
        <w:t>Unless the context otherwise requires, the terms “we,” “us,” “our” the “Company” and “Simply Good Foods” refer to The Simply Good Foods Company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251"/>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5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habits, perceptions and discretionary spending, which may negatively affect our brand loyalty and net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in the highly competitive nutritional snacking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global supply chain and effects of supply chain constraints and inflationary pressure on us or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prices or fail to implement our growth strategies successfully.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continually enhance our brand recognition, increase distribution of our products, grow and maintain shelf space, attract new consumers to our brands and introduce new and innovative products, either on a timely basis or at all.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brands or organizational reputation are damaged, including as a result of negative information on social media.</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must expend resources to maintain consumer awareness of our brands, build brand loyalty and generate interest in our products and the evolution of our marketing strategies and channels, and our programs may not be successful.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focus, which makes us particularly vulnerable to economic and other events and trends in North America.</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which may disrupt our business, including, among other things, consumption and trade patterns, our supply chain and production processes.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Model</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and packaging costs are volatile and may rise significantly.</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interruptions in the supply or delivery of our core ingredients, equipment, packaging and products as we rely on a limited number of third-party suppliers to supply our core ingredients and a limited number of contract manufacturers to manufacture our products.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sales to a limited number of retailers for a substantial portion of our net sales and we maintain “at will” contracts with these retailers, which do not require recurring or minimum purchase amounts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 disruption of and lack of efficiency in our fulfillment network.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natural disasters, government regulations related to climate change, the effects of climate change and geopolitical events, which can all affect crop supplies and supply chain infrastructure.</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through mergers, acquisitions or joint ventures, and we may not successfully integrate, operate or realize the anticipated benefits of such business combinations.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the OWYN acquisition we completed in June 2024, because of integration difficulties and other challenges.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may not provide adequate levels of coverage against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key executive officers or other personnel, or an inability to attract and retain such management and other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material intellectual property and other proprietary rights.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Litigation Risks</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products must comply with regulations of the U.S. Food and Drug Administration and state and local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is regulated for accuracy, and if our advertising is determined to be false or misleading, we may face fines or sanctions.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and regulatory environment could limit our business activities, increase our operating costs, reduce demand for our products or result in litigation.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legal proceedings could expose us to significant liabilities and have a negative effect on our reputation.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Capital Structure</w:t>
      </w:r>
    </w:p>
    <w:p>
      <w:pPr>
        <w:spacing w:after="0" w:line="256"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and adversely affect our financial condition and ability to operate our company, and we may incur additional debt.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adversely affect our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in the future, and it may not be available on acceptable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costs because of operating as a public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appropriate systems, procedures and controls, we may not be able to successfully procure, offer or ship our products, grow our business, account for transactions, accurately report our financial results in an appropriate and timely manner or prevent fraud.</w:t>
      </w: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ownership of 100% of Atkins Intermediate Holdings, LLC which could limit our ability to pay any dividends on our common stock or satisfy our other financial obligations.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declare any dividends in the foreseeable future.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contains anti-takeover provisions which could impair a takeover attempt.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may be affected by future sales of common stock or other dilution.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w:t>
      </w:r>
    </w:p>
    <w:p>
      <w:pPr>
        <w:spacing w:after="0" w:line="25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risks associated with our international operations and exposure to the worldwide economy.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excludes certain of our Board members from the doctrine of “corporate opportunity.”</w:t>
      </w: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84" w:right="8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Atkins, and OWYN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15"/>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snacking occasions have been on the rise in recent years as consumers continue to desire more convenient, healthy and delicious foods, snacks, and meal replacements. We believe our emphasis on product formats such as our protein bars, cookies, chips and salty snacks, confections, RTD shakes, and protein powders positions us to fill important needs for consumers. We believe several existing and emerging consumer trends within the U.S. food and beverage industry will continue to drive both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consumers seeking to add convenient sources of protein and fiber to their diets, and consumers’ movement toward limiting carbohydrate and sugar consumption or avoiding certain allergens.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our Quest brand, we strive to offer an attractive line up of protein bars, cookies, protein chips and salty snacks, RTD shakes, and confections, which target these existing and emerging consumer trends. With our Atkins brand, we strive to offer a compelling line of protein bars, RTD shakes, cookies, protein chips and salty snacks, and confections. With our OWYN brand, we strive to offer RTD shakes and protein powders that are plant-based and tested for the top nine allergens in a variety of protein levels. Our sales, marketing, and research and development capabilities enable us to distribute products to a national customer base across a spectrum of retail channels, including the mass merchandise, grocery, drug, club stores, e-commerce, and small format retail such as convenience stores and gas stations.</w:t>
      </w:r>
    </w:p>
    <w:p>
      <w:pPr>
        <w:spacing w:after="0" w:line="214"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on March 30, 2017, to acquire NCP-ATK Holdings, Inc. (“Atkins”), on July 7, 2017. As part of Simply Good Foods’ strategy to become an industry leading snacking platform, in November 2019, we acquired Quest Nutrition, LLC (“Quest”) and we acquired Only What You Need, Inc. in June 2024. We refer to the acquisition of Quest Nutrition, LLC as the “Quest Acquisition” and the acquisition of Only What You Need, Inc. as the “OWYN Acquisition”.</w:t>
      </w:r>
    </w:p>
    <w:p>
      <w:pPr>
        <w:spacing w:after="0" w:line="203" w:lineRule="exact"/>
        <w:rPr>
          <w:sz w:val="20"/>
          <w:szCs w:val="20"/>
          <w:color w:val="auto"/>
        </w:rPr>
      </w:pPr>
    </w:p>
    <w:p>
      <w:pPr>
        <w:jc w:val="both"/>
        <w:ind w:firstLine="256"/>
        <w:spacing w:after="0" w:line="230" w:lineRule="auto"/>
        <w:rPr>
          <w:sz w:val="20"/>
          <w:szCs w:val="20"/>
          <w:color w:val="auto"/>
        </w:rPr>
      </w:pPr>
      <w:r>
        <w:rPr>
          <w:rFonts w:ascii="Times New Roman" w:cs="Times New Roman" w:eastAsia="Times New Roman" w:hAnsi="Times New Roman"/>
          <w:sz w:val="18"/>
          <w:szCs w:val="18"/>
          <w:color w:val="auto"/>
        </w:rPr>
        <w:t>Our principal executive offices are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Colorado, 80202. Our telephone number is (303) 633-2840. We maintain a web 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Strengths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Powerful brands with strong consumer awareness and loyalty</w:t>
      </w:r>
      <w:r>
        <w:rPr>
          <w:rFonts w:ascii="Times New Roman" w:cs="Times New Roman" w:eastAsia="Times New Roman" w:hAnsi="Times New Roman"/>
          <w:sz w:val="18"/>
          <w:szCs w:val="18"/>
          <w:color w:val="auto"/>
        </w:rPr>
        <w:t>. We are a leader in the fast-growing nutritional snacking category, and our 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Atkins and OWYN brands are leading brands with combined scale in protein bars, protein chips, confections, cookies, RTD shakes, and protein powders. Our highly focused snacking portfolio provides us with a leading position within retailers’ nutrition and wellness aisles, resulting in meaningful shelf space. Our brands can appeal to consumers interested in an active lifestyle who are seeking protein-rich, low-carb snacking options, weight management program consumers, and consumers looking to consume protein through convenient RTD shakes and powders that are plant-based and tested for the top nine allergens, which makes our brands highly attractive and strategic for a diverse set of retailers across various distribution channels.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Aligned with consumer mega trends. </w:t>
      </w:r>
      <w:r>
        <w:rPr>
          <w:rFonts w:ascii="Times New Roman" w:cs="Times New Roman" w:eastAsia="Times New Roman" w:hAnsi="Times New Roman"/>
          <w:sz w:val="18"/>
          <w:szCs w:val="18"/>
          <w:color w:val="auto"/>
        </w:rPr>
        <w:t>Increasing global concern about growing rates of obesity and weight-related diseases and other health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resulted in increased scientific, media and consumer focus on nutrition. Over 100 independent, peer reviewed, clinical studies show the benefits of controlling carbohydrates. We believe this focus is prompting consumers to rebalance their nutritional breakdown away from carbohydrates. Our brand attributes, “low-carb,” “low-sugar” and “protein-rich” nutrition, are well aligned with consumer mega trends. In addition, we believe consumers’ eating habits are gradually shifting towards increased convenience, snacking and meal replacement. We also</w:t>
      </w:r>
    </w:p>
    <w:p>
      <w:pPr>
        <w:sectPr>
          <w:pgSz w:w="11900" w:h="16838" w:orient="portrait"/>
          <w:cols w:equalWidth="0" w:num="1">
            <w:col w:w="11240"/>
          </w:cols>
          <w:pgMar w:left="320" w:top="684"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believe our portfolio of convenient and nutritious products and our ongoing effort to meet consumer demands for convenient snacking options support their individual health, nutrition, allergen sensitivities, and lifestyle goals.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Scalable snacking and food platform. </w:t>
      </w:r>
      <w:r>
        <w:rPr>
          <w:rFonts w:ascii="Times New Roman" w:cs="Times New Roman" w:eastAsia="Times New Roman" w:hAnsi="Times New Roman"/>
          <w:sz w:val="18"/>
          <w:szCs w:val="18"/>
          <w:color w:val="auto"/>
        </w:rPr>
        <w:t>We have been able to grow our product offerings for our nutritious snacking brands through our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extensions and through acquisitions. Our in-house product development experience and our outsourced manufacturing model allow us to bring new products to market quickly. We pride ourselves on knowing our consumers and gleaning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 We believe our strong balance sheet allows us to participate in attractive acquisition opportunities.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Asset-light business with strong cash generation</w:t>
      </w:r>
      <w:r>
        <w:rPr>
          <w:rFonts w:ascii="Times New Roman" w:cs="Times New Roman" w:eastAsia="Times New Roman" w:hAnsi="Times New Roman"/>
          <w:sz w:val="18"/>
          <w:szCs w:val="18"/>
          <w:color w:val="auto"/>
        </w:rPr>
        <w:t>. We retain core in-house capabilities including sales, marketing, brand management,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product development, and supply-chain expertise, while collaborating with a diversified pool of contract manufacturers and distributors to execute manufacturing and distribution. Outsourcing these competencies allows us to focus our efforts on innovation, marketing, and sales to meet consumer demands. Our lean infrastructure allows for significant flexibility, speed-to-market, and minimal capital investment, which translates into relatively consistent and robust free cash flow generation over time, driven by strong gross margins.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Experienced leadership team</w:t>
      </w:r>
      <w:r>
        <w:rPr>
          <w:rFonts w:ascii="Times New Roman" w:cs="Times New Roman" w:eastAsia="Times New Roman" w:hAnsi="Times New Roman"/>
          <w:sz w:val="18"/>
          <w:szCs w:val="18"/>
          <w:color w:val="auto"/>
        </w:rPr>
        <w:t>. Simply Good Foods has an experienced team of industry veterans with extensive experience across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consumer products, food and nutrition categories. Our management team’s extensive experience is complemented by the significant industry expertise of our Board of Directors. Our management team’s deep expertise and proven record of accomplishment in managing brands and operating packaged food businesses is a key driver of our success and we believe positions Simply Good Foods as an attractive vehicle for future long-term growth within the nutritional snacking space.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Strategies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Innovate and expand the portfolio of product offerings to meet consumer demand for higher protein products and new product forms.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enhance, strengthen and expand our product offerings with new and innovative flavors and forms and packaging alternatives, all while maintaining a commitment to delivering products that meet our targeted nutritional profile and provide the convenience and taste consumers crave.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continued pursuit of merger and acquisition transactions.</w:t>
      </w:r>
    </w:p>
    <w:p>
      <w:pPr>
        <w:spacing w:after="0" w:line="20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Leverage platform to expand in attractive food and snacking categories</w:t>
      </w:r>
      <w:r>
        <w:rPr>
          <w:rFonts w:ascii="Times New Roman" w:cs="Times New Roman" w:eastAsia="Times New Roman" w:hAnsi="Times New Roman"/>
          <w:sz w:val="18"/>
          <w:szCs w:val="18"/>
          <w:color w:val="auto"/>
        </w:rPr>
        <w:t>. We believe the fragmented snacking category presents an opportunity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our current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212"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distribution in white space opportunities. </w:t>
      </w:r>
      <w:r>
        <w:rPr>
          <w:rFonts w:ascii="Times New Roman" w:cs="Times New Roman" w:eastAsia="Times New Roman" w:hAnsi="Times New Roman"/>
          <w:sz w:val="18"/>
          <w:szCs w:val="18"/>
          <w:color w:val="auto"/>
        </w:rPr>
        <w:t>In the fifty-three weeks ended August 31, 2024, approximately 77% of Quest’s gross sales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approximately 83% of Atkins’ gross sales in the U.S. were through the mass retailer, grocery and convenience store distribution channels. Our management believes there is opportunity for each of our brands to further penetrate those channels as well as other distribution channels such as convenience and club stores. In addition, while shoppers have increased e-commerce purchases generally, approximately 22% of Quest’s gross sales for the fifty-three weeks ended August 31, 2024, were through its e-commerce channel and approximately 17% of Atkins’ gross sales for the same period were through its e-commerce channel. We intend to leverage our brand recognition to develop further the distribution channels through which we reach consumers, including through the continued expansion of the e-commerce channel.</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Continue our marketing efforts and strategies to both increase household penetration and reach consumers beyond our core historic buyers.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expand our marketing efforts to bring first-time buyers into the Quest, Atkins and OWYN brand franchises. For our Quest brand, our historic consumer base has been individuals pursuing a performance-based active and athletic lifestyle. For our Atkins’ brand it has been people interested in weight management or pursuing a lifestyle of eating low carbohydrate foods. And, for our OWYN brand, the historic consumer base has been consumers looking for an allergen sensitive, plant-based and non-dairy RTD shake or protein powder that is high in protein and low in carbohydrates and sugar. As public opinion on the use of chronic weight management medication is shifting significantly as the popularity of clinical solutions grows and more medications are approved by the FDA, we are looking to communicate to consumers who have elected to use these medications what we believe are the complementary benefits of using our products to support achieving or maintaining their weight management goals.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all our brands, we have an active and growing digital and social presence, using a comprehensive approach of search, banner, and search engine optimization efforts. We are a leader in social media, with an evolving social media presence on major channels such as Facebook, Instagram, Pinterest, X (formerly known as Twitter) and YouTube. We also have a growing network of social influencers and content creators, who promote our products in their targeted social media posts. We believe social media is a cost-effective way of continuing to attract and retain our consumers. We believe our ongoing efforts to educate consumers about the benefits of our nutritional philosophy and lifestyle will further reinforce our brands. For our Quest brand, we have used a national, targeted broadcast ad campaign, and continue to leverage targeted streaming television ads and an extensive network of social media influencers and content creators who prompt both our Quest brand products through their online posts to motivate new buyers and product introductions. For our Atkins brand, we use targeted broadcast and streaming television and print ads with a celebrity-based campaign that attempts to (i) motivate potential programmatic weight loss consumers to try the Atkins approach to healthier eating and weight loss as these Atkins consumers are our most loyal, profitable and frequent purchasers and (ii) broaden the reach of the Atkins brand to appeal to those consumers generally interested in low carbohydrate, low sugar nutrition. For the OWYN brand, we have used an extensive network of social media influencers and content creators who promote our OWYN brand products through their online posts to motivate new buyers.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continue to make focused changes to our approach to consumer outreach to attract consumers beyond our historic core buyers. For our Quest brand, we intend to enhance our marketing efforts to reach more consumers who are seeking products that are aligned with their choice to pursue a healthy and active lifestyle. For the Atkins brand, we intend to continue our marketing efforts to attract self-directed low-carbohydrate and health motivated eaters (those individuals not on a program diet) who buy and consume our Atkins products. As we work to integrate the recently acquired OWYN brand, we will evaluate our marketing efforts to continue to attract consumers who are interested in RTDs and powders that are plant-based and tested for the top nine allergens in a variety of protein levels.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Purpose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During fiscal year 2024, we updated the Simply Good Foods purpose. Our purpose is: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We’re raising the bar on what food can be.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say no to the status quo, and we say yes to making better food.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Food that offers robust nutrition, not hollow nutrition. Energy, not depletion. Enjoyment, not regret.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Simply, we’re on a mission to make food that works for you - that is radically nutritious and defyingly delicious.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Better nutrition made easy so you can live well.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don’t compromise, so you never have to.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Quest Products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core Quest brand products consist of protein bars, cookies, muffins, brownies, salty snacks and confections.</w:t>
      </w:r>
    </w:p>
    <w:p>
      <w:pPr>
        <w:spacing w:after="0" w:line="250" w:lineRule="exact"/>
        <w:rPr>
          <w:sz w:val="20"/>
          <w:szCs w:val="20"/>
          <w:color w:val="auto"/>
        </w:rPr>
      </w:pPr>
    </w:p>
    <w:p>
      <w:pPr>
        <w:jc w:val="both"/>
        <w:ind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Quest bars offer a convenient and effective solution, providing consumers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fiber and a delicious taste.</w:t>
      </w:r>
    </w:p>
    <w:p>
      <w:pPr>
        <w:spacing w:after="0" w:line="185" w:lineRule="exact"/>
        <w:rPr>
          <w:sz w:val="20"/>
          <w:szCs w:val="20"/>
          <w:color w:val="auto"/>
        </w:rPr>
      </w:pPr>
    </w:p>
    <w:p>
      <w:pPr>
        <w:jc w:val="both"/>
        <w:ind w:firstLine="20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Bake Shop. </w:t>
      </w:r>
      <w:r>
        <w:rPr>
          <w:rFonts w:ascii="Times New Roman" w:cs="Times New Roman" w:eastAsia="Times New Roman" w:hAnsi="Times New Roman"/>
          <w:sz w:val="18"/>
          <w:szCs w:val="18"/>
          <w:color w:val="auto"/>
        </w:rPr>
        <w:t>Quest’s cookies, muffins, and brownies sold under the Quest Bake Shop banner are convenient sources of high-protein combined with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carbs and low-sugar.</w:t>
      </w:r>
    </w:p>
    <w:p>
      <w:pPr>
        <w:spacing w:after="0" w:line="185" w:lineRule="exact"/>
        <w:rPr>
          <w:sz w:val="20"/>
          <w:szCs w:val="20"/>
          <w:color w:val="auto"/>
        </w:rPr>
      </w:pPr>
    </w:p>
    <w:p>
      <w:pPr>
        <w:jc w:val="both"/>
        <w:ind w:firstLine="234"/>
        <w:spacing w:after="0" w:line="284" w:lineRule="auto"/>
        <w:rPr>
          <w:sz w:val="20"/>
          <w:szCs w:val="20"/>
          <w:color w:val="auto"/>
        </w:rPr>
      </w:pPr>
      <w:r>
        <w:rPr>
          <w:rFonts w:ascii="Times New Roman" w:cs="Times New Roman" w:eastAsia="Times New Roman" w:hAnsi="Times New Roman"/>
          <w:sz w:val="18"/>
          <w:szCs w:val="18"/>
          <w:i w:val="1"/>
          <w:iCs w:val="1"/>
          <w:color w:val="auto"/>
        </w:rPr>
        <w:t>Salty Snacks</w:t>
      </w:r>
      <w:r>
        <w:rPr>
          <w:rFonts w:ascii="Times New Roman" w:cs="Times New Roman" w:eastAsia="Times New Roman" w:hAnsi="Times New Roman"/>
          <w:sz w:val="18"/>
          <w:szCs w:val="18"/>
          <w:color w:val="auto"/>
        </w:rPr>
        <w:t>. Quest’s protein chips and crackers line quickly became a high-selling product offering an attractive nutrition profile when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conventional chip and cracker products.</w:t>
      </w:r>
    </w:p>
    <w:p>
      <w:pPr>
        <w:spacing w:after="0" w:line="185" w:lineRule="exact"/>
        <w:rPr>
          <w:sz w:val="20"/>
          <w:szCs w:val="20"/>
          <w:color w:val="auto"/>
        </w:rPr>
      </w:pPr>
    </w:p>
    <w:p>
      <w:pPr>
        <w:jc w:val="both"/>
        <w:ind w:firstLine="2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Quest’s confections include peanut butter cups, “fudgey” brownie, “gooey” caramel candy bites, chocolatey coated peanut candies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“coconutty” caramel candy bars sold in a variety of packaging.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Atkins Products</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Our core Atkins brand products consist of protein bars, RTD shakes, confections, and cookies.</w:t>
      </w:r>
    </w:p>
    <w:p>
      <w:pPr>
        <w:spacing w:after="0" w:line="2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Protein Bars. </w:t>
      </w:r>
      <w:r>
        <w:rPr>
          <w:rFonts w:ascii="Times New Roman" w:cs="Times New Roman" w:eastAsia="Times New Roman" w:hAnsi="Times New Roman"/>
          <w:sz w:val="18"/>
          <w:szCs w:val="18"/>
          <w:color w:val="auto"/>
        </w:rPr>
        <w:t>To keep on-the-go consumers energized and fueled, our Atkins bars offer a convenient and effective solution, providing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protein, fiber and a delicious taste.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xml:space="preserve">RTD Shakes. </w:t>
      </w:r>
      <w:r>
        <w:rPr>
          <w:rFonts w:ascii="Times New Roman" w:cs="Times New Roman" w:eastAsia="Times New Roman" w:hAnsi="Times New Roman"/>
          <w:sz w:val="18"/>
          <w:szCs w:val="18"/>
          <w:color w:val="auto"/>
        </w:rPr>
        <w:t>Our rich and creamy Atkins RTD shakes contain 10 to 30 grams of protein, as well as other important vitamins and minerals.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 w:name="page10"/>
    <w:bookmarkEnd w:id="9"/>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Confections. </w:t>
      </w:r>
      <w:r>
        <w:rPr>
          <w:rFonts w:ascii="Times New Roman" w:cs="Times New Roman" w:eastAsia="Times New Roman" w:hAnsi="Times New Roman"/>
          <w:sz w:val="18"/>
          <w:szCs w:val="18"/>
          <w:color w:val="auto"/>
        </w:rPr>
        <w:t>Our Atkins Endulge line, which is designed to satisfy consumers’ sweet cravings, and which we call Treats, consists of delicious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desserts without all the added sugar providing consumers with the option to indulge.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Cookies. </w:t>
      </w:r>
      <w:r>
        <w:rPr>
          <w:rFonts w:ascii="Times New Roman" w:cs="Times New Roman" w:eastAsia="Times New Roman" w:hAnsi="Times New Roman"/>
          <w:sz w:val="18"/>
          <w:szCs w:val="18"/>
          <w:color w:val="auto"/>
        </w:rPr>
        <w:t>Atkins’ cookie products are a convenient source of high-protein combined with low net carbs and low-sugar.</w:t>
      </w:r>
    </w:p>
    <w:p>
      <w:pPr>
        <w:spacing w:after="0" w:line="25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Recipes. </w:t>
      </w:r>
      <w:r>
        <w:rPr>
          <w:rFonts w:ascii="Times New Roman" w:cs="Times New Roman" w:eastAsia="Times New Roman" w:hAnsi="Times New Roman"/>
          <w:sz w:val="18"/>
          <w:szCs w:val="18"/>
          <w:color w:val="auto"/>
        </w:rPr>
        <w:t>While provided free of charge, we also offer over 1,600 protein-rich, low-carbohydrate and low-sugar recipes designed to help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and maintain a healthy lifestyle, while still enjoying delicious food.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OWYN Products</w:t>
      </w:r>
    </w:p>
    <w:p>
      <w:pPr>
        <w:spacing w:after="0" w:line="25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RTD Shakes and Powders</w:t>
      </w:r>
      <w:r>
        <w:rPr>
          <w:rFonts w:ascii="Times New Roman" w:cs="Times New Roman" w:eastAsia="Times New Roman" w:hAnsi="Times New Roman"/>
          <w:sz w:val="18"/>
          <w:szCs w:val="18"/>
          <w:color w:val="auto"/>
        </w:rPr>
        <w:t>. Our OWYN RTD shakes and powders are plant-based, contain 20 to 32 grams of protein, and do not contain gluten,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dairy, soy, eggs, nuts, tree nuts, are low in sugar, and contain prebiotic fiber.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Advertising and Consumer Outreach</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marketing efforts are designed to increase consumer awareness of and demand for our products. We employ a broad mix of marketing, including coupons,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increasing consumer preference and usage of our brands. Our trade promotions focus on obtaining retail feature and display support, achieving optimum retail product prices and securing retail shelf space. We use coupons (freestanding insert newspaper, store register, on-pack and online coupons) to help stimulate product trial and repeat purchases by providing consumers with economic incentives. The mix of these marketing activities varies among our brands.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low-sugar dietary approach, and with respect to our OWYN brand, plant-based, diary free and allergen sensitive, we have devoted portions of our respective brand websites and social media to promote consumer education, engagement, and dialogue about the benefits of our nutritional approaches and how our products can fit within those approaches.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and the nutritional qualities of our products. We also provide access to consumer service representatives to answer questions and educate consumers on nutrition, new products and developments. As part of this approach, over time, for those consumers who have elected to use weight management medications to pursue their weight management goals we expect to develop and enhance our marketing messages regarding how we believe our products can be used to meet their snacking use occasions and be complementary to their use of medication for weight management to achieve and maintain their weight management goals.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our brands, in order to facilitate awareness and knowledge of the health benefits of a low-carbohydrate, low-sugar and protein-rich eating approach, whether dairy or plant-based,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built large consumer followings for our brands.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In the fifty-three weeks ended August 31, 2024, approximately 72% of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expenses were spent on advertising costs.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Retailers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wide variety of customers across the mass, food, club, drug, and e-commerce channels. A substantial majority of our sales are generated from a limited number of retailers. Sales to our largest retailer, Walmart Inc., represented approximately 31% of consolidated sales in fiscal year 2024, of which approximately 23% was through their mass retail channel and approximately 8% was through their Sam’s club and e-commerce channels. Sales to our next largest retailer, Amazon, represented approximately 18% of consolidated sales in fiscal year 2024. No other customer represents more than 10% of sales. For additional information, please see the risk factor “</w:t>
      </w:r>
      <w:r>
        <w:rPr>
          <w:rFonts w:ascii="Times New Roman" w:cs="Times New Roman" w:eastAsia="Times New Roman" w:hAnsi="Times New Roman"/>
          <w:sz w:val="18"/>
          <w:szCs w:val="18"/>
          <w:i w:val="1"/>
          <w:iCs w:val="1"/>
          <w:color w:val="auto"/>
        </w:rPr>
        <w:t>We rely on sales to a limited number of retailers for a substantial majority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sales, and losing one or more such retailers may materially harm our business. In addition, we maintain “at will” contracts with these retailers, which do not require recurring or minimum purchase amounts of our products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aim to ensure that our consumers may access our brand in the way that best suits their lifestyles by offering online ordering of our products. We sell our products on </w:t>
      </w:r>
      <w:r>
        <w:rPr>
          <w:rFonts w:ascii="Times New Roman" w:cs="Times New Roman" w:eastAsia="Times New Roman" w:hAnsi="Times New Roman"/>
          <w:sz w:val="18"/>
          <w:szCs w:val="18"/>
          <w:i w:val="1"/>
          <w:iCs w:val="1"/>
          <w:color w:val="auto"/>
        </w:rPr>
        <w:t>questnutrition.com, Atkins.com, liveowyn.com, Amazon.com</w:t>
      </w:r>
      <w:r>
        <w:rPr>
          <w:rFonts w:ascii="Times New Roman" w:cs="Times New Roman" w:eastAsia="Times New Roman" w:hAnsi="Times New Roman"/>
          <w:sz w:val="18"/>
          <w:szCs w:val="18"/>
          <w:color w:val="auto"/>
        </w:rPr>
        <w:t xml:space="preserve"> and the e-commerce platforms of our brick-and-mortar customers, which all deliver our products directly to the location designated by the consumer.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ingredients to meet consumer demands for unique nutrition options.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an important component of meeting consumers’ nutritional needs is a focus on evolving current products. We are committed to continually finding new and innovative formulations for our products, as well as using “better-for-you” ingredients like nuts, fiber and whey protein, while continually improving taste and quality.</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an in-house research and development team as well as market research and consumer insight capabilities. Through our research and development labs in El Segundo, California, and Broomfield, Colorado, we control our brands’ innovations and product formulations from the ground up. By developing new products, prototypes and adjacencies in-house, we facilitate our core competencies in product innovation and enhance our speed to market.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believe the fragmented snacking category presents an opportunity for consolidation and the opportunity to build, through disciplined acquisitions, a leading platform in the nutritional snacking space. As a leader in nutritious snacking, we believe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for our products.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nutritional snacking industry is fragmented and highly competitive and includes a number of diverse competitors. We have a number of diverse competitors of varying sizes and capabilities, including developers, marketers and sellers of other branded and private label nutritional snacking food products. We compete primarily in large retail and e-commerce environments. We believe the principal competitive factors in the nutritional snacking industry are:</w:t>
      </w:r>
    </w:p>
    <w:p>
      <w:pPr>
        <w:spacing w:after="0" w:line="20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loyalty among consumers;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ingredients (including the sourcing and allergen profiles of ingredients);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macronutrient profiles of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taste and texture;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convenience;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campaigns and associated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product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variety, packaging and labeling;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retailer shelf space;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positioning on e-commerce retailer sites.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believe we currently compete effectively with respect to each of these factors. However, a number of companies in the nutritional snacking industry may compete more effectively for a variety of reasons, including having greater financial resources, more comprehensive product lines, broader market presence, more established relationships with distributors, suppliers and customers, longer operating histories, greater distribution and selling capabilities, stronger brand recognition, or greater innovation and marketing capabilities than we have. We expect the industry we operate in to remain highly competitive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an asset-light business model. For the manufacture of our products, we contract with contract manufacturers, and as a result, our operations are highly flexible and require minimal capital expenditure. The supply chain for our international business also uses exclusively contract manufacturers.</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Sourcing. </w:t>
      </w:r>
      <w:r>
        <w:rPr>
          <w:rFonts w:ascii="Times New Roman" w:cs="Times New Roman" w:eastAsia="Times New Roman" w:hAnsi="Times New Roman"/>
          <w:sz w:val="18"/>
          <w:szCs w:val="18"/>
          <w:color w:val="auto"/>
        </w:rPr>
        <w:t>The principal ingredients to manufacture our products include chocolate and other coatings, dairy, proteins, soy, nuts, and pea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pumpkin seed protein. Our packaging consists of flexible film, cartons, tetra paper, plastic bottles and corrugate. All our core ingredients are purchased according to rigorous standards to assure food quality and safety. These core ingredients are generally available in adequate quantities from several suppliers. We competitively bid with major suppliers to source competitively priced, quality ingredients and packaging that meet our standards. For certain ingredients we establish direct purchasing agreements with suppliers, under which our contract manufacturers source ingredients to produce finished products. We also procure certain ingredients directly that our contract manufacturers then use to produce our products. We actively manage the cost of most of our packaging supplies, such as corrugate, film, and cartons. Historically, OWYN has directly purchased and therefore owns the ingredients and packaging the contract manufacturers use for the production of OWYN products.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We rely on contract manufacturers to manufacture our products. The contract manufacturers schedule and receive ingredient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inventory according to parameters set in their contracts and forecasts we provide. As noted above, some ingredients and packaging are purchased by our contract manufacturers pursuant to framework contracts we have with the applicable suppliers. Our contract manufacturers are regularly audited by third parties and are required to follow rigorous food safety guidelines. We believe our contract manufacturers have capacity to meet our anticipated supply needs, although short-term high demand or production equipment issues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Storage. </w:t>
      </w:r>
      <w:r>
        <w:rPr>
          <w:rFonts w:ascii="Times New Roman" w:cs="Times New Roman" w:eastAsia="Times New Roman" w:hAnsi="Times New Roman"/>
          <w:sz w:val="18"/>
          <w:szCs w:val="18"/>
          <w:color w:val="auto"/>
        </w:rPr>
        <w:t>For the Quest and Atkins brands we lease two distribution centers, both in Greenfield, Indiana, referred to collectively as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where we store finished goods. We utilize over 1.29 million square feet of floor space among our Distribution Centers. For our OWYN brand, we currently use portions of four warehouses for finished goods which are located in Greenfield, Indiana, Greenwood, Indiana, Romeoville, Illinois, and Hackettstown, New Jersey. For OWYN we utilize approximately 200,000 square feet of floor space. Having completed the OWYN Acquisition in June 2024, we are currently evaluating the integration activities and the timing for their implementation related to the OWYN brand’s warehouse operations.</w:t>
      </w:r>
    </w:p>
    <w:p>
      <w:pPr>
        <w:spacing w:after="0" w:line="210" w:lineRule="exact"/>
        <w:rPr>
          <w:sz w:val="20"/>
          <w:szCs w:val="20"/>
          <w:color w:val="auto"/>
        </w:rPr>
      </w:pPr>
    </w:p>
    <w:p>
      <w:pPr>
        <w:jc w:val="both"/>
        <w:ind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For Quest and Atkins, the majority of our products are shipped directly to one central warehouse, which is a leased warehouse managed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third-party logistics provider. We also have separate warehouses for a portion of our distribution needs. A substantial portion of our inventory is shipped directly to our retailers from the warehouse by the same third-party logistics provider. Most of our</w:t>
      </w:r>
    </w:p>
    <w:p>
      <w:pPr>
        <w:sectPr>
          <w:pgSz w:w="11900" w:h="16838" w:orient="portrait"/>
          <w:cols w:equalWidth="0" w:num="1">
            <w:col w:w="11240"/>
          </w:cols>
          <w:pgMar w:left="320" w:top="684"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remaining customers pick up their orders at our distribution centers and make their own arrangements for delivery to their fulfillment network. For certain customers, RTD shakes are shipped directly from the contract manufacturer to the customers’ locations. We believe our use of demand forecasting and vendor-managed inventory systems enables us to meet shipping demands, ensure timely delivery of orders and offer service levels to our customers. For the majority of our customers, our logistics provider distributes the finished goods via truckloads from our Distribution Centers, which first flow through regional terminals. At the terminals, our orders are consolidated with other companies’ products being shipped to the customer. The finished goods are then distributed to retailer customers’ distribution centers. The regular weekly shipments and consolidation have reduced our costs. For some products, we ship directly to customers from our contract manufacturer through a third-party logistics provider. In some instances, the customer will arrange to pick-up directly finished products from our Distribution Centers.</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OWYN</w:t>
      </w:r>
      <w:r>
        <w:rPr>
          <w:rFonts w:ascii="Times New Roman" w:cs="Times New Roman" w:eastAsia="Times New Roman" w:hAnsi="Times New Roman"/>
          <w:sz w:val="18"/>
          <w:szCs w:val="18"/>
          <w:color w:val="auto"/>
        </w:rPr>
        <w:t>. OWYN products for select channels are shipped through both distributors and redistributors throughout the United States. OWYN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ship direct to a customer’s warehouse for most national and regional retail customers and the customers of two large distributors with one large customer arranging for products to be picked up. Currently, OWYN uses a consolidator network for large national retailer customers, which avoids OWYN having to ship “less than truckload” deliveries to these customers throughout the United States. OWYN currently uses one primary warehouse located in Illinois and a logistics provider in Illinois for the purpose of assembling e-commerce variety packages. OWYN has also recently converted certain key distributors to a model where customers pick up shipments. Having completed the OWYN Acquisition in June 2024, we are currently evaluating the integration activities and the timing for their implementation related to the OWYN brand’s distribution functions.</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Our products are also sold outside North America. Our top international sales are in Australia and New Zealand. For the fifty-three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August 31, 2024, international net sales represented approximately 2.5% of total net sales. For products that are not manufactured in North America and shipped internationally, our international supply chain is run by a lean team solely focused on international operations. Similar to U.S. operations, international operations utilize contract manufacturers for products, and distributors for distribution and sales.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Quality</w:t>
      </w:r>
      <w:r>
        <w:rPr>
          <w:rFonts w:ascii="Times New Roman" w:cs="Times New Roman" w:eastAsia="Times New Roman" w:hAnsi="Times New Roman"/>
          <w:sz w:val="18"/>
          <w:szCs w:val="18"/>
          <w:i w:val="1"/>
          <w:iCs w:val="1"/>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Food safety and quality is a top priority, and we dedicate substantial resources to ensure that consumers receive safe, high 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 We hold an ISO 22000 certification for our U.S. operations, excluding OWYN, which we first obtained during fiscal year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along with our third-party service providers including our licensees, contract manufacturers, e-commerce contractors and third-party sellers, collect information about consumers directly from them as well as automatically through their use of our websites. We collect information from consumers when they interact with our websites and the services we offer on those sites. The information we collect varies based on the consumer’s particular interaction with our websites. We may combine this information with other information that we collect. We and our third-party service providers may use cookies and other similar tracking technologies to track information about consumers’ use of our websites and the services we offer on those websites. The website operations of our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firstLine="227"/>
        <w:spacing w:after="0" w:line="254" w:lineRule="auto"/>
        <w:rPr>
          <w:sz w:val="20"/>
          <w:szCs w:val="20"/>
          <w:color w:val="auto"/>
        </w:rPr>
      </w:pPr>
      <w:r>
        <w:rPr>
          <w:rFonts w:ascii="Times New Roman" w:cs="Times New Roman" w:eastAsia="Times New Roman" w:hAnsi="Times New Roman"/>
          <w:sz w:val="18"/>
          <w:szCs w:val="18"/>
          <w:color w:val="auto"/>
        </w:rPr>
        <w:t>During the fifty-two weeks ended August 27, 2022, we substantially completed our efforts to fully integrate our operations and organization structure after the Quest Acquisition. We aligned the nature of our production processes, and the methods used to distribute products to customers for the Quest and Atkins brands. Following the OWYN Acquisition, the Company's operations are organized into two operating segments, Quest and Atkins, and OWYN,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w:t>
      </w:r>
    </w:p>
    <w:p>
      <w:pPr>
        <w:spacing w:after="0" w:line="3" w:lineRule="exact"/>
        <w:rPr>
          <w:sz w:val="20"/>
          <w:szCs w:val="20"/>
          <w:color w:val="auto"/>
        </w:rPr>
      </w:pPr>
    </w:p>
    <w:p>
      <w:pPr>
        <w:jc w:val="both"/>
        <w:ind w:firstLine="8"/>
        <w:spacing w:after="0" w:line="253" w:lineRule="auto"/>
        <w:tabs>
          <w:tab w:leader="none" w:pos="2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customer for the products; and, (e) the nature of the regulatory environment. The Company also designed its organizational structure to support entity-wide business functions across brands, products, customers, and geographic regions. As a result, during the fifty-three weeks ended August 31, 2024, the Company determined its operations are organized into two operating segments, which were aggregated into one reporting segment due to similar financial, economic and operating characteristics. During the fifty-two weeks ended August 26, 2023, and August 27, 2022, the Company determined its operations are organized into one, consolidated operating segment and reportable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Compliance</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U.S. Food and Drug Administration (“FDA”),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Food-Related Regulations</w:t>
      </w:r>
    </w:p>
    <w:p>
      <w:pPr>
        <w:spacing w:after="0" w:line="254" w:lineRule="exact"/>
        <w:rPr>
          <w:sz w:val="20"/>
          <w:szCs w:val="20"/>
          <w:color w:val="auto"/>
        </w:rPr>
      </w:pPr>
    </w:p>
    <w:p>
      <w:pPr>
        <w:jc w:val="both"/>
        <w:ind w:firstLine="209"/>
        <w:spacing w:after="0" w:line="266" w:lineRule="auto"/>
        <w:rPr>
          <w:sz w:val="20"/>
          <w:szCs w:val="20"/>
          <w:color w:val="auto"/>
        </w:rPr>
      </w:pPr>
      <w:r>
        <w:rPr>
          <w:rFonts w:ascii="Times New Roman" w:cs="Times New Roman" w:eastAsia="Times New Roman" w:hAnsi="Times New Roman"/>
          <w:sz w:val="18"/>
          <w:szCs w:val="18"/>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manufacturing practices for foods through its current good manufacturing practices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standards of identity for certain foods, including many of the products we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regulates the advertising claims that can be made on food product labels;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prescribes the format and content of certain information required to appear on food product labels.</w:t>
      </w:r>
    </w:p>
    <w:p>
      <w:pPr>
        <w:spacing w:after="0" w:line="234" w:lineRule="exact"/>
        <w:rPr>
          <w:sz w:val="20"/>
          <w:szCs w:val="20"/>
          <w:color w:val="auto"/>
        </w:rPr>
      </w:pPr>
    </w:p>
    <w:p>
      <w:pPr>
        <w:jc w:val="both"/>
        <w:ind w:firstLine="187"/>
        <w:spacing w:after="0" w:line="261" w:lineRule="auto"/>
        <w:rPr>
          <w:sz w:val="20"/>
          <w:szCs w:val="20"/>
          <w:color w:val="auto"/>
        </w:rPr>
      </w:pPr>
      <w:r>
        <w:rPr>
          <w:rFonts w:ascii="Times New Roman" w:cs="Times New Roman" w:eastAsia="Times New Roman" w:hAnsi="Times New Roman"/>
          <w:sz w:val="18"/>
          <w:szCs w:val="18"/>
          <w:color w:val="auto"/>
        </w:rPr>
        <w:t>We are subject to the Food Safety Modernization Act,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Labeling Regulations</w:t>
      </w:r>
    </w:p>
    <w:p>
      <w:pPr>
        <w:spacing w:after="0" w:line="254" w:lineRule="exact"/>
        <w:rPr>
          <w:sz w:val="20"/>
          <w:szCs w:val="20"/>
          <w:color w:val="auto"/>
        </w:rPr>
      </w:pPr>
    </w:p>
    <w:p>
      <w:pPr>
        <w:jc w:val="both"/>
        <w:ind w:firstLine="257"/>
        <w:spacing w:after="0" w:line="282" w:lineRule="auto"/>
        <w:rPr>
          <w:sz w:val="20"/>
          <w:szCs w:val="20"/>
          <w:color w:val="auto"/>
        </w:rPr>
      </w:pPr>
      <w:r>
        <w:rPr>
          <w:rFonts w:ascii="Times New Roman" w:cs="Times New Roman" w:eastAsia="Times New Roman" w:hAnsi="Times New Roman"/>
          <w:sz w:val="18"/>
          <w:szCs w:val="18"/>
          <w:color w:val="auto"/>
        </w:rPr>
        <w:t>We are subject to various labeling requirements with respect to our products at the federal, state and local levels. At the federal level the FDA has authority to review product labeling, and the FTC may review labeling and advertising materials, including online and television</w:t>
      </w:r>
    </w:p>
    <w:p>
      <w:pPr>
        <w:sectPr>
          <w:pgSz w:w="11900" w:h="16838" w:orient="portrait"/>
          <w:cols w:equalWidth="0" w:num="1">
            <w:col w:w="11240"/>
          </w:cols>
          <w:pgMar w:left="320" w:top="684"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56" w:lineRule="exact"/>
        <w:rPr>
          <w:sz w:val="20"/>
          <w:szCs w:val="20"/>
          <w:color w:val="auto"/>
        </w:rPr>
      </w:pPr>
    </w:p>
    <w:p>
      <w:pPr>
        <w:jc w:val="both"/>
        <w:ind w:firstLine="172"/>
        <w:spacing w:after="0" w:line="261" w:lineRule="auto"/>
        <w:rPr>
          <w:sz w:val="20"/>
          <w:szCs w:val="20"/>
          <w:color w:val="auto"/>
        </w:rPr>
      </w:pPr>
      <w:r>
        <w:rPr>
          <w:rFonts w:ascii="Times New Roman" w:cs="Times New Roman" w:eastAsia="Times New Roman" w:hAnsi="Times New Roman"/>
          <w:sz w:val="18"/>
          <w:szCs w:val="18"/>
          <w:color w:val="auto"/>
        </w:rPr>
        <w:t>As of August 31, 2024, our workforce consisted of 316 employees globally who were largely based in an office or in research and development (“R&amp;D”) lab locations. Of that total, approximately 95% of our employees were in the United States, and the rest were in Canada, Europe, Australia, and New Zealand. 133 employees were engaged in marketing and sales, 100 were engaged in R&amp;D, operations and quality, and 83 were engaged in administration. Of our United States employees, 26 employees were hourly and 275 were salaried. No employees were covered by a collective bargaining agreement.</w:t>
      </w:r>
    </w:p>
    <w:p>
      <w:pPr>
        <w:spacing w:after="0" w:line="205" w:lineRule="exact"/>
        <w:rPr>
          <w:sz w:val="20"/>
          <w:szCs w:val="20"/>
          <w:color w:val="auto"/>
        </w:rPr>
      </w:pPr>
    </w:p>
    <w:p>
      <w:pPr>
        <w:jc w:val="both"/>
        <w:ind w:firstLine="28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Ambition, Purpose and Values. </w:t>
      </w:r>
      <w:r>
        <w:rPr>
          <w:rFonts w:ascii="Times New Roman" w:cs="Times New Roman" w:eastAsia="Times New Roman" w:hAnsi="Times New Roman"/>
          <w:sz w:val="18"/>
          <w:szCs w:val="18"/>
          <w:color w:val="auto"/>
        </w:rPr>
        <w:t>During fiscal year 2024, we updated our ambition, purpose and values to reflect one unified Simply Good Foods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We’re on a mission to make food that is radically nutritious and defyingly delicious. Our ambition is to become the leader in nutritional snacking, leading the category with trusted brands consumers love. Our values, </w:t>
      </w:r>
      <w:r>
        <w:rPr>
          <w:rFonts w:ascii="Times New Roman" w:cs="Times New Roman" w:eastAsia="Times New Roman" w:hAnsi="Times New Roman"/>
          <w:sz w:val="18"/>
          <w:szCs w:val="18"/>
          <w:i w:val="1"/>
          <w:iCs w:val="1"/>
          <w:color w:val="auto"/>
        </w:rPr>
        <w:t>Simply Bold, Simply Deliver, Simply Learn &amp; Grow, Simply Together, and Simply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Kind</w:t>
      </w:r>
      <w:r>
        <w:rPr>
          <w:rFonts w:ascii="Times New Roman" w:cs="Times New Roman" w:eastAsia="Times New Roman" w:hAnsi="Times New Roman"/>
          <w:sz w:val="18"/>
          <w:szCs w:val="18"/>
          <w:color w:val="auto"/>
        </w:rPr>
        <w:t>, are critical to our success in fulfilling our ambition and vision.</w:t>
      </w:r>
    </w:p>
    <w:p>
      <w:pPr>
        <w:spacing w:after="0" w:line="20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Training &amp; Development</w:t>
      </w:r>
      <w:r>
        <w:rPr>
          <w:rFonts w:ascii="Times New Roman" w:cs="Times New Roman" w:eastAsia="Times New Roman" w:hAnsi="Times New Roman"/>
          <w:sz w:val="18"/>
          <w:szCs w:val="18"/>
          <w:color w:val="auto"/>
        </w:rPr>
        <w:t>. Training and development is critical to our success, helps our employees grow their career, and is one way we attract, motivate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retain our employees. We regularly host “Be Empowered” sessions for employees, which are educational classes and networking opportunities that teach our nutrition philosophy and our different business functions. To develop effective and empowered leaders, we host regular trainings and informational sessions.</w:t>
      </w:r>
    </w:p>
    <w:p>
      <w:pPr>
        <w:spacing w:after="0" w:line="209"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our normal performance review cycle, which took place in early fiscal year 2024, 99% of our employees held career discussions with their managers to identify opportunities for development and career progression. Because of career discussions, mentorship opportunities and the talent review process conducted by our senior leadership, during fiscal year 2024, we promoted 9% of our workforce and provided associated compensation increases.</w:t>
      </w:r>
    </w:p>
    <w:p>
      <w:pPr>
        <w:spacing w:after="0" w:line="201"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i w:val="1"/>
          <w:iCs w:val="1"/>
          <w:color w:val="auto"/>
        </w:rPr>
        <w:t>Our Commitment to Diversity, Equity, Inclusion &amp; Belonging (“DEI&amp;B”)</w:t>
      </w:r>
      <w:r>
        <w:rPr>
          <w:rFonts w:ascii="Times New Roman" w:cs="Times New Roman" w:eastAsia="Times New Roman" w:hAnsi="Times New Roman"/>
          <w:sz w:val="18"/>
          <w:szCs w:val="18"/>
          <w:color w:val="auto"/>
        </w:rPr>
        <w:t>. We recognize the importance of a diverse, equitable and inclusive culture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employees and its effect on our ability to achieve our business objectives, so we have made commitments to track and improve our performance in each of these areas. Our Board of Directors created its Corporate Responsibility &amp; Sustainability committee that has been tasked with, among other things, overseeing human capital resources and all our DEI&amp;B initiatives. These initiatives include the following, among others:</w:t>
      </w:r>
    </w:p>
    <w:p>
      <w:pPr>
        <w:spacing w:after="0" w:line="209" w:lineRule="exact"/>
        <w:rPr>
          <w:sz w:val="20"/>
          <w:szCs w:val="20"/>
          <w:color w:val="auto"/>
        </w:rPr>
      </w:pP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Diversity, Equity, Inclusion and Belonging Council consisting of mid-level and senior leaders so our DEI&amp;B efforts are informed and led by a cross section of our leaders. Its mission is to foster a positive, open, and trusted culture of belonging where every person feels empowered to bring their unique selves to the workplace resulting in a competitive advantage through thought-leadership and talent growth that halos beyond our workforce to our partners and community, creating an inclusive ecosystem.</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 a pay equity audit every fiscal year to evaluate equity in our pay practices and work to address any issues that may arise.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post every open position or promotional opportunity in the United States that is not confidential, and we include the job’s pay range to provide transparency to candidates. This practice provides every qualified candidate an opportunity to apply with knowledge of the range of pay for the role.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initiatives are included as part of the determination of the discretionary component of our annual short-term incentive program.</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are required to attend preventing discrimination and harassment training.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 Juneteenth as a company-paid holiday every year in the United States as a day of reflection, education, and celebration.</w:t>
      </w:r>
    </w:p>
    <w:p>
      <w:pPr>
        <w:spacing w:after="0" w:line="234" w:lineRule="exact"/>
        <w:rPr>
          <w:sz w:val="20"/>
          <w:szCs w:val="20"/>
          <w:color w:val="auto"/>
        </w:rPr>
      </w:pPr>
    </w:p>
    <w:p>
      <w:pPr>
        <w:jc w:val="both"/>
        <w:ind w:firstLine="179"/>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as of August 31, 2024, the end of our fiscal year, about the representation of women and minorities as a percentage of our employees at various levels of management categories used by our Executive Leadership Team to manage our workforce. This information is also reviewed by our Board of Directors.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6"/>
          <w:szCs w:val="16"/>
          <w:color w:val="auto"/>
        </w:rPr>
        <w:t>Female and Minority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20320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1"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3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Female</w:t>
            </w:r>
          </w:p>
        </w:tc>
        <w:tc>
          <w:tcPr>
            <w:tcW w:w="1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Minority</w:t>
            </w:r>
            <w:r>
              <w:rPr>
                <w:rFonts w:ascii="Times New Roman" w:cs="Times New Roman" w:eastAsia="Times New Roman" w:hAnsi="Times New Roman"/>
                <w:sz w:val="21"/>
                <w:szCs w:val="21"/>
                <w:color w:val="auto"/>
                <w:vertAlign w:val="superscript"/>
              </w:rPr>
              <w:t>1</w:t>
            </w: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Employees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35%</w:t>
            </w:r>
          </w:p>
        </w:tc>
      </w:tr>
      <w:tr>
        <w:trPr>
          <w:trHeight w:val="26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People-leaders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26%</w:t>
            </w:r>
          </w:p>
        </w:tc>
      </w:tr>
      <w:tr>
        <w:trPr>
          <w:trHeight w:val="27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Director-level</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26%</w:t>
            </w:r>
          </w:p>
        </w:tc>
      </w:tr>
      <w:tr>
        <w:trPr>
          <w:trHeight w:val="26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VP-level</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r>
      <w:tr>
        <w:trPr>
          <w:trHeight w:val="27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Leadership Team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r>
        <w:trPr>
          <w:trHeight w:val="26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8%</w:t>
            </w:r>
          </w:p>
        </w:tc>
      </w:tr>
    </w:tbl>
    <w:p>
      <w:pPr>
        <w:spacing w:after="0" w:line="19" w:lineRule="exact"/>
        <w:rPr>
          <w:sz w:val="20"/>
          <w:szCs w:val="20"/>
          <w:color w:val="auto"/>
        </w:rPr>
      </w:pPr>
    </w:p>
    <w:p>
      <w:pPr>
        <w:ind w:left="1440" w:right="1700" w:hanging="10"/>
        <w:spacing w:after="0" w:line="225" w:lineRule="auto"/>
        <w:tabs>
          <w:tab w:leader="none" w:pos="1533"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Minority representation includes the percent of United States employees who identify as Black or African American, Asian, Hispanic, Native American, or two or more races.</w:t>
      </w:r>
    </w:p>
    <w:p>
      <w:pPr>
        <w:spacing w:after="0" w:line="35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table below is our 2023 EEO-1 report, shortened to eliminate rows and columns that have no employees in this report or in the previous report total. This table shows our gender, racial, and ethnic composition by EEO-1 job category as set forth in the Section D Employment Data section of the Consolidated EEO-1 Report that we filed with the U.S. Equal Employment Opportunity Commission (EEOC) in 2023. The following information is provided for the period from December 1, 2023, through December 15, 2023, consistent with the report’s filing instructions.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Not-Hispanic or Latino</w:t>
            </w:r>
          </w:p>
        </w:tc>
        <w:tc>
          <w:tcPr>
            <w:tcW w:w="7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Hispanic or Latino</w:t>
            </w: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Male</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Female</w:t>
            </w:r>
          </w:p>
        </w:tc>
        <w:tc>
          <w:tcPr>
            <w:tcW w:w="7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Black or</w:t>
            </w: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American</w:t>
            </w: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Black or</w:t>
            </w: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Hawaiian or</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Indian or</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Two or</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Two 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Overall</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Job Categories</w:t>
            </w:r>
          </w:p>
        </w:tc>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Male</w:t>
            </w:r>
          </w:p>
        </w:tc>
        <w:tc>
          <w:tcPr>
            <w:tcW w:w="7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Female</w:t>
            </w:r>
          </w:p>
        </w:tc>
        <w:tc>
          <w:tcPr>
            <w:tcW w:w="7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White</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African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Asian</w:t>
            </w:r>
          </w:p>
        </w:tc>
        <w:tc>
          <w:tcPr>
            <w:tcW w:w="1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Pacific</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Alaskan</w:t>
            </w:r>
          </w:p>
        </w:tc>
        <w:tc>
          <w:tcPr>
            <w:tcW w:w="7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White</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African</w:t>
            </w:r>
          </w:p>
        </w:tc>
        <w:tc>
          <w:tcPr>
            <w:tcW w:w="7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Asian</w:t>
            </w:r>
          </w:p>
        </w:tc>
        <w:tc>
          <w:tcPr>
            <w:tcW w:w="740" w:type="dxa"/>
            <w:vAlign w:val="bottom"/>
            <w:tcBorders>
              <w:right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00" w:type="dxa"/>
            <w:vAlign w:val="bottom"/>
            <w:tcBorders>
              <w:right w:val="single" w:sz="8" w:color="auto"/>
            </w:tcBorders>
            <w:gridSpan w:val="2"/>
            <w:vMerge w:val="continue"/>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American</w:t>
            </w:r>
          </w:p>
        </w:tc>
        <w:tc>
          <w:tcPr>
            <w:tcW w:w="54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Islander</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Native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More Races</w:t>
            </w:r>
          </w:p>
        </w:tc>
        <w:tc>
          <w:tcPr>
            <w:tcW w:w="72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American</w:t>
            </w:r>
          </w:p>
        </w:tc>
        <w:tc>
          <w:tcPr>
            <w:tcW w:w="740" w:type="dxa"/>
            <w:vAlign w:val="bottom"/>
            <w:tcBorders>
              <w:right w:val="single" w:sz="8" w:color="auto"/>
            </w:tcBorders>
            <w:vMerge w:val="continue"/>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More Races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0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Executives/Senior</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78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Borders>
              <w:top w:val="single" w:sz="8" w:color="auto"/>
            </w:tcBorders>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78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top w:val="single" w:sz="8" w:color="auto"/>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Officials &amp; Managers</w:t>
            </w: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70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76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First/Mid Officials &amp;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9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85"/>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Managers</w:t>
            </w: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Professionals</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5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Technicians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Workers</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Administrative Support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70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Borders>
              <w:bottom w:val="single" w:sz="8" w:color="auto"/>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10</w:t>
            </w:r>
          </w:p>
        </w:tc>
        <w:tc>
          <w:tcPr>
            <w:tcW w:w="940" w:type="dxa"/>
            <w:vAlign w:val="bottom"/>
            <w:tcBorders>
              <w:bottom w:val="single" w:sz="8" w:color="auto"/>
              <w:right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2</w:t>
            </w:r>
          </w:p>
        </w:tc>
        <w:tc>
          <w:tcPr>
            <w:tcW w:w="7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95</w:t>
            </w:r>
          </w:p>
        </w:tc>
        <w:tc>
          <w:tcPr>
            <w:tcW w:w="78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74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Previous Report Total</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54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w w:val="99"/>
              </w:rPr>
              <w:t>11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right="20" w:firstLine="234"/>
        <w:spacing w:after="0" w:line="267" w:lineRule="auto"/>
        <w:rPr>
          <w:sz w:val="20"/>
          <w:szCs w:val="20"/>
          <w:color w:val="auto"/>
        </w:rPr>
      </w:pPr>
      <w:r>
        <w:rPr>
          <w:rFonts w:ascii="Times New Roman" w:cs="Times New Roman" w:eastAsia="Times New Roman" w:hAnsi="Times New Roman"/>
          <w:sz w:val="18"/>
          <w:szCs w:val="18"/>
          <w:i w:val="1"/>
          <w:iCs w:val="1"/>
          <w:color w:val="auto"/>
        </w:rPr>
        <w:t>Employee Culture</w:t>
      </w:r>
      <w:r>
        <w:rPr>
          <w:rFonts w:ascii="Times New Roman" w:cs="Times New Roman" w:eastAsia="Times New Roman" w:hAnsi="Times New Roman"/>
          <w:sz w:val="18"/>
          <w:szCs w:val="18"/>
          <w:color w:val="auto"/>
        </w:rPr>
        <w:t>. We regularly ask our employees to respond to engagement surveys to gather feedback on topics including teamwork, growth, job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engagement and inclusion. This encourages open communication with employees and management, and tracks employee engagement over time.</w:t>
      </w:r>
    </w:p>
    <w:p>
      <w:pPr>
        <w:spacing w:after="0" w:line="200" w:lineRule="exact"/>
        <w:rPr>
          <w:sz w:val="20"/>
          <w:szCs w:val="20"/>
          <w:color w:val="auto"/>
        </w:rPr>
      </w:pPr>
    </w:p>
    <w:p>
      <w:pPr>
        <w:jc w:val="both"/>
        <w:ind w:right="20"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Rewards. </w:t>
      </w:r>
      <w:r>
        <w:rPr>
          <w:rFonts w:ascii="Times New Roman" w:cs="Times New Roman" w:eastAsia="Times New Roman" w:hAnsi="Times New Roman"/>
          <w:sz w:val="18"/>
          <w:szCs w:val="18"/>
          <w:color w:val="auto"/>
        </w:rPr>
        <w:t>The health, satisfaction and security of our employees and their families are important to us and an important part of reaching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pacing w:after="0" w:line="209" w:lineRule="exact"/>
        <w:rPr>
          <w:sz w:val="20"/>
          <w:szCs w:val="20"/>
          <w:color w:val="auto"/>
        </w:rPr>
      </w:pPr>
    </w:p>
    <w:p>
      <w:pPr>
        <w:jc w:val="both"/>
        <w:ind w:right="20" w:firstLine="208"/>
        <w:spacing w:after="0" w:line="261" w:lineRule="auto"/>
        <w:rPr>
          <w:sz w:val="20"/>
          <w:szCs w:val="20"/>
          <w:color w:val="auto"/>
        </w:rPr>
      </w:pPr>
      <w:r>
        <w:rPr>
          <w:rFonts w:ascii="Times New Roman" w:cs="Times New Roman" w:eastAsia="Times New Roman" w:hAnsi="Times New Roman"/>
          <w:sz w:val="18"/>
          <w:szCs w:val="18"/>
          <w:color w:val="auto"/>
        </w:rPr>
        <w:t>We understand that each employee's situation is unique, so we offer benefits that can be shaped and molded by each employee to fit their individual or family's needs. Our current benefits vary by region, but generally include medical, dental and vision insurance, 401(k) retirement plan, savings accounts, life and disability insurance coverage, free mental telehealth support, and other voluntary benefits. We also offer time-off benefits including vacation time, flexible vacation for exempt positions, sick leave, and paid parental leave.</w:t>
      </w:r>
    </w:p>
    <w:p>
      <w:pPr>
        <w:spacing w:after="0" w:line="207" w:lineRule="exact"/>
        <w:rPr>
          <w:sz w:val="20"/>
          <w:szCs w:val="20"/>
          <w:color w:val="auto"/>
        </w:rPr>
      </w:pPr>
    </w:p>
    <w:p>
      <w:pPr>
        <w:jc w:val="both"/>
        <w:ind w:right="20" w:firstLine="197"/>
        <w:spacing w:after="0" w:line="282" w:lineRule="auto"/>
        <w:rPr>
          <w:sz w:val="20"/>
          <w:szCs w:val="20"/>
          <w:color w:val="auto"/>
        </w:rPr>
      </w:pPr>
      <w:r>
        <w:rPr>
          <w:rFonts w:ascii="Times New Roman" w:cs="Times New Roman" w:eastAsia="Times New Roman" w:hAnsi="Times New Roman"/>
          <w:sz w:val="18"/>
          <w:szCs w:val="18"/>
          <w:color w:val="auto"/>
        </w:rPr>
        <w:t>We recognize the importance of balance in our employees’ lives to their overall wellbeing, so we offer our employees time off benefits described above to recharge, ten company-paid holidays per year, flexible remote workdays every Monday and Friday, and paid parental leave.</w:t>
      </w:r>
    </w:p>
    <w:p>
      <w:pPr>
        <w:spacing w:after="0" w:line="187" w:lineRule="exact"/>
        <w:rPr>
          <w:sz w:val="20"/>
          <w:szCs w:val="20"/>
          <w:color w:val="auto"/>
        </w:rPr>
      </w:pPr>
    </w:p>
    <w:p>
      <w:pPr>
        <w:jc w:val="both"/>
        <w:ind w:right="20" w:firstLine="2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Advancing Health, Nutrition and Wellbeing. </w:t>
      </w:r>
      <w:r>
        <w:rPr>
          <w:rFonts w:ascii="Times New Roman" w:cs="Times New Roman" w:eastAsia="Times New Roman" w:hAnsi="Times New Roman"/>
          <w:sz w:val="18"/>
          <w:szCs w:val="18"/>
          <w:color w:val="auto"/>
        </w:rPr>
        <w:t>Our mission is to empower healthy lives through smart and satisfying nutrition. We believe we play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role in helping to improve nutrition and overall wellness in the United States through scientific research, education, advocacy and community engagement.</w:t>
      </w:r>
    </w:p>
    <w:p>
      <w:pPr>
        <w:spacing w:after="0" w:line="202" w:lineRule="exact"/>
        <w:rPr>
          <w:sz w:val="20"/>
          <w:szCs w:val="20"/>
          <w:color w:val="auto"/>
        </w:rPr>
      </w:pPr>
    </w:p>
    <w:p>
      <w:pPr>
        <w:jc w:val="both"/>
        <w:ind w:right="20" w:firstLine="211"/>
        <w:spacing w:after="0" w:line="261" w:lineRule="auto"/>
        <w:rPr>
          <w:sz w:val="20"/>
          <w:szCs w:val="20"/>
          <w:color w:val="auto"/>
        </w:rPr>
      </w:pPr>
      <w:r>
        <w:rPr>
          <w:rFonts w:ascii="Times New Roman" w:cs="Times New Roman" w:eastAsia="Times New Roman" w:hAnsi="Times New Roman"/>
          <w:sz w:val="18"/>
          <w:szCs w:val="18"/>
          <w:color w:val="auto"/>
        </w:rPr>
        <w:t>Since 2016, we have advocated with various branches of the U.S. federal government to encourage more inclusive guidance in the U.S. Department of Agriculture’s and U.S. Department of Health and Human Services’ Dietary Guidelines for Americans (the “Dietary Guidelines”), which is released every five years. Our goal is to expand the Dietary Guidelines to offer solutions for more Americans, including the more than half of the U.S. population suffering from negative metabolic-related conditions such as cardiovascular disease, prediabetes,</w:t>
      </w:r>
    </w:p>
    <w:p>
      <w:pPr>
        <w:sectPr>
          <w:pgSz w:w="11900" w:h="16838" w:orient="portrait"/>
          <w:cols w:equalWidth="0" w:num="1">
            <w:col w:w="11260"/>
          </w:cols>
          <w:pgMar w:left="320" w:top="787" w:right="31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type w:val="continuous"/>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diabetes and obesity. We also believe expanding the Dietary Guidelines would help to address health equity in many underserved populations in the United States who have higher rates of metabolic-related diseases. The advocacy work we have done is aligned with recent guidance issued by major health organizations such as the American Diabetes Association and the American Heart Association, both of which recommend a lower carbohydrate dietary approach as an option for those with diabetes.</w:t>
      </w:r>
    </w:p>
    <w:p>
      <w:pPr>
        <w:spacing w:after="0" w:line="207"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8"/>
          <w:szCs w:val="18"/>
          <w:color w:val="auto"/>
        </w:rPr>
        <w:t>Our public policy advocacy includes presenting significant scientific research comprised of several hundred, peer-reviewed clinical studies in numerous meetings with policymakers, congresspeople, and decision-makers in the U.S. Department of Agriculture and the U.S. Department of Health and Human Services. In addition, we have sponsored numerous continuing education courses for registered dieticians and other healthcare professionals, and we are a member of multiple collaborative groups focused on improving the nutritional quality of the U.S. food system.</w:t>
      </w:r>
    </w:p>
    <w:p>
      <w:pPr>
        <w:spacing w:after="0" w:line="207" w:lineRule="exact"/>
        <w:rPr>
          <w:sz w:val="20"/>
          <w:szCs w:val="20"/>
          <w:color w:val="auto"/>
        </w:rPr>
      </w:pPr>
    </w:p>
    <w:p>
      <w:pPr>
        <w:jc w:val="both"/>
        <w:ind w:firstLine="274"/>
        <w:spacing w:after="0" w:line="255" w:lineRule="auto"/>
        <w:rPr>
          <w:sz w:val="20"/>
          <w:szCs w:val="20"/>
          <w:color w:val="auto"/>
        </w:rPr>
      </w:pPr>
      <w:r>
        <w:rPr>
          <w:rFonts w:ascii="Times New Roman" w:cs="Times New Roman" w:eastAsia="Times New Roman" w:hAnsi="Times New Roman"/>
          <w:sz w:val="18"/>
          <w:szCs w:val="18"/>
          <w:color w:val="auto"/>
        </w:rPr>
        <w:t>As part of our advocacy on the advantages of a protein-rich, low-carbohydrate, and low-sugar dietary approach, we have devoted portions of our respective brand websites and social media to promote consumer education, engagement, and dialogue about the benefits of our nutritional approaches and how our products can fit within those approaches. Through our websites and social media, we also share educational information to explain each brand’s approach to nutrition, teaching consumers how to make smarter food choices and the nutritional qualities of our approach and products. Our Atkins website also offers free of charge information regarding the Atkins protein-rich, low-carbohydrate and low-sugar approach to eating, several tools to assist consumers in pursuing the Atkins approach and over 1,600 recipes designed to help consumers achieve and maintain a healthy lifestyle, while still enjoying delicious food.</w:t>
      </w:r>
    </w:p>
    <w:p>
      <w:pPr>
        <w:spacing w:after="0" w:line="216" w:lineRule="exact"/>
        <w:rPr>
          <w:sz w:val="20"/>
          <w:szCs w:val="20"/>
          <w:color w:val="auto"/>
        </w:rPr>
      </w:pPr>
    </w:p>
    <w:p>
      <w:pPr>
        <w:jc w:val="both"/>
        <w:ind w:firstLine="222"/>
        <w:spacing w:after="0" w:line="256" w:lineRule="auto"/>
        <w:rPr>
          <w:sz w:val="20"/>
          <w:szCs w:val="20"/>
          <w:color w:val="auto"/>
        </w:rPr>
      </w:pPr>
      <w:r>
        <w:rPr>
          <w:rFonts w:ascii="Times New Roman" w:cs="Times New Roman" w:eastAsia="Times New Roman" w:hAnsi="Times New Roman"/>
          <w:sz w:val="18"/>
          <w:szCs w:val="18"/>
          <w:color w:val="auto"/>
        </w:rPr>
        <w:t>In late 2021, we launched Quest for Impact, formerly known as The Quest Challenge, a grant program for individuals who are making a difference in their community in support of health and wellness. In 2023, we provided four separate $20,000 grants. The Quest for Impact grants were awarded following a competitive process in which applicants expressed their current philanthropic work and what they aim to achieve if they received the grant. Recipients of this year’s grant have used this money to provide life enrichment skills for individuals with autism and special needs, empower and provide skills development for underserved individuals and communities, and support programs designed to develop student’s minds and prepare them for the complexities and demands of the world. We will continue to follow the progress of our past recipients and their effect on their communities.</w:t>
      </w:r>
    </w:p>
    <w:p>
      <w:pPr>
        <w:spacing w:after="0" w:line="214"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8"/>
          <w:szCs w:val="18"/>
          <w:color w:val="auto"/>
        </w:rPr>
        <w:t>Also in 2023, we participated in Walmart Inc.’s “Fight Hunger. Spark Change.” campaign. For each purchase of participating Simply Good Foods’ Quest and Atkins products at Walmart during the campaign, we donated the monetary equivalent of at least one meal to Feeding America. Through this program, Simply Good Foods secured at least 500,000 meals for Feeding America. Additionally, we encourage and support our employees to give back to charities they are passionate about, and we match up to $100 of each employee’s donations.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we sponsored a Community Impact Day for our employees to volunteer in their communities in support of our commitment to help improve nutrition and overall wellness in the United States through scientific research, education, advocacy, and community engagement. We partnered with five organizations in five cities where our employees have a presence: Denver, CO; El Segundo, CA; Minneapolis, MN; Bentonville, AR, and Cincinnati, OH. Over 110 Simply Good Foods employees volunteered, building awareness about nutrition security, and striving to help end hunger in the U.S. by centering this volunteer event around Community Gardens, a place where people come together to access affordable, healthy food options.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we announced our partnership with the Boys and Girls clubs of metro Denver to create the Spark and Spoon project. This project will impact over 28,000 kids and teens across Denver, providing them with nutrition education, healthy lifestyle programs, culinary programs, healthy food boxes, field trips, and provide funding for a dedicated full time staff member to support the programs. In July of 2024, Simply Good Foods volunteers assisted with a cooking class, helping the kids learn vital food preparation skills such as chopping, measuring, and mixing as they created three special dishes and enjoyed the “art” of cooking.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which are available free of charge. The address of this Internet site is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w:t>
      </w:r>
    </w:p>
    <w:p>
      <w:pPr>
        <w:spacing w:after="0" w:line="201"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 xml:space="preserve">We also make available free of charge through our website at </w:t>
      </w:r>
      <w:r>
        <w:rPr>
          <w:rFonts w:ascii="Times New Roman" w:cs="Times New Roman" w:eastAsia="Times New Roman" w:hAnsi="Times New Roman"/>
          <w:sz w:val="18"/>
          <w:szCs w:val="18"/>
          <w:i w:val="1"/>
          <w:iCs w:val="1"/>
          <w:u w:val="single" w:color="auto"/>
          <w:color w:val="auto"/>
        </w:rPr>
        <w:t>www.thesimplygoodfoodscompany.com</w:t>
      </w:r>
      <w:r>
        <w:rPr>
          <w:rFonts w:ascii="Times New Roman" w:cs="Times New Roman" w:eastAsia="Times New Roman" w:hAnsi="Times New Roman"/>
          <w:sz w:val="18"/>
          <w:szCs w:val="18"/>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28"/>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which could become material. The trading price of our securities could decline due to any of these risks, and, as a result, you may lose all or part of your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consumer preferences, habits, perceptions of certain nutritional snacking products and discretionary spending may negatively affect our brand loyalty, purchase frequency rate and net sales, and materially and adversely affect our business, financial condition and results of operations.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develop, market and sell products we believe have positive effects on health and compete in a market that relies on innovation and evolving consumer preferences. The packaged food industry in general, and the nutritional snacking industry in particular, is subject to changing consumer trends, demands and preferences and nutrition science is constantly evolving. Products, ingredients, or methods of eating once considered healthy may become disfavored by consumers, scientifically questioned or no longer be perceived as healthy.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Trends within the food industry change over time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for a variety of reasons,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regulations on certain ingredients, trends away from specific ingredients and processing in products and increasing awareness of the environmental and social effects of product production.</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perceptions of the nutritional profile of our products and related eating practices may shift. Consumers may also no longer perceive products with fewer carbohydrates, higher levels of protein, higher levels of fat, or additional fiber or which contain alternative sweeteners as healthy or needed to achieve personal weight management, wellness, lifestyle, or fitness goals. Adverse messaging in the media, including social media, or within certain influencer communities, relating to the marketing of nutritional snacking products or weight-related dietary programs may adversely affect the overall consumer impression of certain products, programs or brands, which may materially and adversely affect our business. Approaches regarding nutritional approaches and healthy lifestyles are the subject of numerous studies and publications, often with differentiating views and opinions, some of which may be adverse to us. Conflicting scientific information on what constitutes good nutrition, or the benefits of certain dietary approaches may also materially and adversely affect our business. Our success depends, in part, on our ability to advance sound nutrition research and to anticipate the tastes and dietary habits of consumers and other consumer trends and to offer products with marketing that appeals to their needs and preferences on a timely and affordable basis. A change in consumer discretionary spending, due to inflationary pressures, economic downturn or other reasons may also materially and adversely affect our sales, and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the highly competitive nutritional snacking industry.</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committed to providing people a more nutritious way to eat. We compete in the nutritional snacking industry, which is included in the general snack foods industry. The nutritious snacking industry is large and intensely competitive. Competitive factors in the nutritional snacking industry include product quality, taste, texture, brand awareness among consumers, nutritional content, the sourcing and degree of processing of ingredients, innovation of “on-trend” snacks, variety of snacks offered, allergen profile, grocery aisle placement, access to retailer shelf space, price, advertising and promotion, product packaging and package design. We compete in this market against numerous multinational, regional and local companies principally based on our nutritional content, product taste and quality, our brand recognition and loyalty, marketing, advertising, price and the ability to satisfy specific consumer dietary needs. An increasing focus on macronutrient-focused products in the marketplace will likely increase these competitive pressures within the category in future periods.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in the nutritional snacking industry include companies selling protein bars, chips, confections, shakes and nutritional supplements often with a focus on specific dietary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and consumer perceptions of the effectiveness of a low-carb, low-sugar and protein-rich eating approach, both our brands must continue to be viewed favorably, or our business and reputation may be materially and adversely affected. If other nutritional approaches become more popular, or are generally perceived to be more effective, we may not be able to compete effectively. In addition, public opinion on the use of chronic weight management medication continues to shift significantly as the popularity of clinical solutions grows and more weight management medications are approved by the FDA. Moreover, the growing acceptance and use of medication to manage weight could negatively affect the demand for many types of food in general and our</w:t>
      </w:r>
    </w:p>
    <w:p>
      <w:pPr>
        <w:sectPr>
          <w:pgSz w:w="11900" w:h="16838" w:orient="portrait"/>
          <w:cols w:equalWidth="0" w:num="1">
            <w:col w:w="11240"/>
          </w:cols>
          <w:pgMar w:left="320" w:top="684"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8" w:name="page19"/>
    <w:bookmarkEnd w:id="18"/>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products. If the use of weight management medication becomes more popular and more widely used and we are unable to communicate effectively to consumers how our products can support achieving or maintaining their weight management goals, our business could be materially and adversely affected.</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our competitors have resources substantially greater than we have and market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operations are dependent on a global supply chain and the effects of supply chain constraints and inflationary pressure on us, or our suppliers could adversely affect our operating results.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the operations of our contract manufacturers have been, and may continue to be, affected by supply chain constraints and packaging, ingredient and labor challenges resulting in increased costs. The continuing uncertain economic environment, and macroeconomic and geopolitical events and trends may increase or prolong these risks. In addition, current or future governmental policies or regulations or the effects on certain ingredients resulting from climate change or regulations associated with combating climate change may increase the risk of further inflation, which could further increase the costs of ingredients, packaging and finished goods for our business. Similarly, if costs of goods and labor continue to increase, our suppliers may continue to seek price increases from us. These circumstances have resulted in negative effects on our results of operations. If we cannot mitigate the effect of supply chain constraints and inflationary pressure through price increases or cost saving measures, our results of operations and financial condition could be further negatively affected.</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can raise the prices of our products, consumers might react negatively to these price increases, which could have a material adverse effect on, among other things, our brands, reputation, and sales. If our competitors maintain or lower their prices while we raise prices, we may lose customers or the purchase frequency of our products may slow, which would both adversely affect sales. Our profitability may be negatively affected by higher costs, inadequate pricing or a reduction in purchase frequencies of our products, which may negatively affect gross margins and sales. Even though we continue to work to alleviate supply chain constraints through various measures, we cannot predict the effect of these constraints on the timing of revenue and operating costs of our business in the near future. Supply chain challenges and supply chain constraints relating to ingredients, freight and packaging, including cost inflation, have negatively affected our gross margins and profitability in the past and may continue to have a negative effect on our future operating results and profitability. In addition, p</w:t>
      </w:r>
      <w:r>
        <w:rPr>
          <w:rFonts w:ascii="Times New Roman" w:cs="Times New Roman" w:eastAsia="Times New Roman" w:hAnsi="Times New Roman"/>
          <w:sz w:val="18"/>
          <w:szCs w:val="18"/>
          <w:color w:val="212529"/>
        </w:rPr>
        <w:t>rolonged unfavorable economic conditions, including because of recession or slowed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growth, labor strikes, or public health outbreaks, endemics or pandemics, may have an adverse effect on our sales and profitability.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or increase the prices of our products to cover elevated input costs, our margins may decrease.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in part, on price increases to offset cost increases and maintain or improve the profitability of our business. Our ability to maintain prices or effectively implement price increases, may be affected by several factors, including competition, effectiveness of our marketing programs, the continuing strength of our brands, market demand and general economic conditions, including broader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trade and promotional activity. If we cannot maintain or increase prices for our products or must increase trade and promotional activity, our margins may be adversely affected. Furthermore, price increases generally cause volume losses, as consumers tend to purchase fewer units at higher price points. If such losses are greater than expected or if we lose distribution due to price increases, our business, financial condition and results of operations may be materially and adversely affected.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largely, on our ability to implement our growth strategies effectively. However, we may fail to accomplish this. We expect to continue focusing on nutritional snacking and intend to add additional brands to our product portfolio, such as OWYN, which we acquired during fiscal year 2024.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low carbohydrate eating lifestyle consumers of our products and those consumers using chronic weight management medication to support their weight loss goals may have different preferences and spending habits than the consumers of traditional weight loss products. We may also fail to adequately explain to consumers using chronic weight management medication how our products can support achieving and maintaining weight loss goals. We may fail in reaching and maintaining the loyalty or purchase frequency rate of new consumers to the same extent, or at all, as we have with our historical consumers. We may also not succeed in evolving our advertising and other efforts to appeal to our target consumers.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cannot identify and capture new audiences and demographics for our brands, our ability to integrate additional brands successfully will be adversely affected. We may also not succeed in evolving our advertising and other efforts to appeal to our target consumers. Accordingly, we may not be able to successfully implement our growth strategies, expand the number of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brand recognition, maintain or increase distribution of our products, attract new consumers to our brands and introduce new and innovative products, either on a timely basis or at all, our business may suffer.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enhance our brand recognition amongst consumers, develop and market new and innovative products and extensions and effectively inform consumers of these new products. New product sales represent a growing and important portion of our net sales. To respond to new and evolving consumer demands, achieve market acceptance and keep pace with new nutritional, scientific, technological and other developments, we must constantly introduce new and innovative products into the market, some of which may not be accepted by consumers, may be sent to market prematurely, or may contravene our taste or texture standards. Accordingly, we may fail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may be limited if we cannot maintain or secure additional shelf or retail space for our products in brick-and-mortar retailers.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depend on our ability to drive revenue growth, in part, by maintaining and expanding the distribution channels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or adequate product visibility on, their platform to enable us to meet our growth objectives.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Unattractive placement or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availability,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built our reputation on the efficacy of our nutritional approach, and the high-quality flavor and nutritional content of our food. We must protect and expand on the value of our brands to continue to succeed in the future. Any incident that erodes consumer affinity for our brands or our business operations could significantly reduce our value and damage our business. For example, negative third-party research or media reports on our nutritional approach, use of ingredients or the quality of our food, whether accurate or not, may adversely affect consumer perceptions, which could cause the value of our brands to suffer and adversely affect our business. In addition, if we recall certain products, including licensed products over which we may not have full quality control, the public perception of the quality of our food may be diminished. We may also be adversely affected by news or other negative publicity, regardless of accuracy, regarding other aspects of our business, such as:</w:t>
      </w:r>
    </w:p>
    <w:p>
      <w:pPr>
        <w:spacing w:after="0" w:line="21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illness or safety;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environmental stewardship and the effects our business has on the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confidential consumer or employee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claims relating to alleged employment discrimination, health care and benefit issues;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industry findings about or the financial stability of our retailers, distributors, manufacturers or others across our supply chain.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information, including inaccurate information, about us on social media may harm our reputation and brands, which could have a material and adverse effect on our business, financial condition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has been a marked increase in using social media platforms and similar channels that provide individuals with access to a broad audience of consumers and other interested persons. The availability of information on social media platforms is virtually immediate, as is its effect. Many social media platforms provide the content their subscribers and participants post, often without filters or checks on accuracy of the content posted. The opportunity for dissemination of information, including inaccurate information, is potentially limitless. Information about our business and/or products may be circulated on such platforms at any time. Negative views regarding our products and the efficacy of our eating approaches have been posted on various social media platforms, may continue to be posted in the future, and are out of our control. Regardless of their accuracy or authenticity, such information and views may be adverse to our interests and may harm our reputation and brands.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appropriately allocate resources to maintain consumer awareness of our brands, build brand loyalty and generate interest in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strategies and channels will evolve, and our programs may or may not be successful.</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the market position of our brands or to introduce new products to the market. We along with participants in our industry are increasingly engaging with non-traditional and evolving media channels, including consumer outreach through social media and web-based communications, which may not prove successful. An increase in our marketing and advertising efforts may not maintain our current reputation or lead to increased awareness for our brands. Moreover, we may not maintain current awareness of our brands due to any potential fragmentation of our marketing efforts as we continue to focus primarily on a low-carb, low-sugar and protein-rich nutritional approach for everyday snacking consumers. In addition, as media becomes increasingly fragmented, with consumers viewing media more and more through a variety of different platforms, channels and devices such as mobile devices and online streaming and less from traditional broadcast and cable television outlets, our costs to reach a comparable number of target consumers for our advertising activities has increased.</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consistently evaluate our product lines to determine whether to redesign or discontinue certain products. Redesigning or discontinuing products may increase our profitability but could reduce our sales and cause consumers to shop other brands. The reformulation or discontinuation of product lines may have an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geographic focus makes us particularly vulnerable to economic and other events and trends in North America.</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disease outbreaks have in the past and may in the future disrupt our business, including, among other things, consumption and trade patterns, our supply chain and production processes, each of which could materially affect our operations, liquidity, financial condition and results of operations.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actual or perceived effects of a disease outbreak, epidemic, pandemic or similar widespread public health concern, such as COVID-19, could negatively affect our operations, liquidity, financial condition and results of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Pandemics, epidemics or disease outbreaks may affect demand for our products because quarantines or other government restrictions on movement may cause erratic consumer purchase behavior. Future governmental or societal impositions of restrictions on public gatherings, especially if prolonged, may have adverse effects on consumption rates and in-person traffic to retail stores and, in turn, our business. Even the perceived risk of infection or health risk may adversely affect traffic to our store-based retail customers and, in turn, our business, liquidity, financial condition and results of operations, particularly if any mobility restrictions are in place for significant time.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1" w:name="page22"/>
    <w:bookmarkEnd w:id="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spread of pandemics, epidemics or disease outbreaks such as COVID-19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For example, the operations of several of our contract manufacturers were affected by the COVID-19 pandemic’s effect on the availability of labor. Ports and other channels of entry may be closed or operate at only a portion of capacity, as workers may be prohibited or otherwise unable to report to work and means of transporting products within regions or countries may be limited for the same reason. Because of the COVID-19 pandemic, transport restrictions were put in place and global supply was constrained, each of which caused price increases or shortages of certain ingredients and raw materials used in our products. Further, our contract manufacturers’ ability to manufacture our products was, and may again in the future be, impaired by disruption to their employee staffing, procurement, manufacturing, or warehousing capabilities because of COVID-19 or similar outbreaks.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pandemic or similar situations. Retailers may also alter their normal inventory receiving and product restocking practices during pandemics, epidemics or disease outbreaks such as COVID-19, which may negatively affect our business.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Workforce limitations and travel restrictions resulting from pandemics, epidemics or disease outbreaks such as COVID-19 and related government actions may affect many aspects of our business. If a significant percentage of our workforce cannot work or we cannot visit our contract manufacturers’ locations, including because of illness, travel or government restrictions related to pandemics or disease outbreaks, our operations may be negatively affected. In addition, pandemics or disease outbreaks could cause a widespread health crisis that could adversely affect the economies and financial markets of many countries where we offer products, resulting in an economic downturn that could affect customers’ and consumers’ demand for our products.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Adverse and uncertain economic conditions, such as decreases in per capita income and level of disposable income, increased unemployment or a decline in consumer confidence because of pandemic or similar situations, could have an adverse effect on distributor, retailer and consumer demand for our products. Consumers may shift purchases to lower-priced or other perceived value offerings during economic downturns.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the effects on consumer demand and shopping behavior because of the COVID-19 pandemic could continue, including because of new virus variants and the effect these variants have on consumer shopping patterns.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efforts to manage and mitigate these factors may be unsuccessful, and the effectiveness of these efforts depends on factors beyond our control, including the duration and severity of any pandemic, epidemic or disease outbreak, and third-party actions taken to contain its spread and mitigate public health effects.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Operating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may rise significantly, which may negatively affect the profitability of our business.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and agricultural programs and environmental regulations affecting the production or manufacturing of ingredients and packaging. Volatility in the prices of the core ingredients and other supplies we purchase increased in recent fiscal years and, while these price increases have begun to moderate for some core ingredients and other supplies, we anticipate increases in the cost of certain core ingredients and supplies during fiscal year 2025.</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use hedges for availability of any core ingredients or packaging. Any material upward movement in core ingredient or packaging pricing could negatively affect our margins if we cannot find efficiencies or pass these costs on to our consumers.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purchasers, interruptions in production by suppliers, natural disasters, volatility in the price of crude oil and related petrochemical products and changes in exchange rates.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Shortages or interruptions in the supply or delivery of our core ingredients, packaging, products or equipment we purchase could materially and adversely affect our operating results as we rely on a limited number of third-party suppliers to supply our core ingredients and packaging and a limited number of contract manufacturers to manufacture our products.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core ingredients used in manufacturing our products include nuts, protein and fiber. We rely on a limited number and in certain cases single third-party suppliers to provide these core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sustainability concerns, evolving applicable environmental regulations, ability to import core ingredients, delays in imported core ingredients being processed through local customs, costs, production, insurance, reputation and weather conditions during growing, harvesting or shipping, including flood, drought, frost and earthquakes, man-made disasters or other catastrophic occurrences, and geopolitical events such as the continuing conflict between Ukraine and Russia.</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the overall supply of required core ingredients, suppliers raising their prices, and increases in the cost of packaging and distributing core ingredients. We may not be able to identify and qualify new suppliers of core ingredients promptly, which could adversely affect our ability to make timely deliveries of products. Additionally, we may be adversely affected if suppliers stop selling to us or enter into arrangements that impair their abilities to provide us with core ingredients and packaging.</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rely on a limited number of contract manufacturers to manufacture our products. If any of these manufacturers:</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adverse effects on their businesses, including an inability to fulfill their labor or other human capital needs;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continue manufacturing our products at required levels, on a timely basis, or at all;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choose to cancel or not renew our contract with them to manufacture our products;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 In addition, occasionally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 manufacturers also independently contract for and obtain certain ingredients and packaging for our products. If we or our contract manufactures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having our products available for consumer purchase through our retail customers is disrupted because of an inability to obtain ingredients or packaging, labor challenges at our logistics providers or our contract manufacturers, or if our customers experience delays in stocking our products in their locations, we will experience a reduction in sales at retail and our results of operations could be material and adversely affected.</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in large part on our third-party contract manufacturers to maintain the quality of our products. The failure or inability of contract manufacturers to comply with the specifications and requirements of our products could cause product recalls, which could materially and adversely affect our reputation and subject us to significant liability should the consumption of any of our products cause or be claimed to cause illness or injury. Our products implicate risks such as product contamination, spoilage, product tampering, other adulteration, mislabeling and misbranding. We also license certain products that contain our brands and logos, but which are produced and distributed exclusively by third parties of whom we have limited control. In addition, we do not own our warehouse facilities, but they are managed for us by a third party.</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certain circumstances, we may be required to, or may voluntarily, recall or withdraw products.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claim or lawsuit is unsuccessful or is not fully pursued, the negative publicity surrounding any assertion that our products caused illness or injury could adversely affect our reputation with existing and potential consumers and our corporate and brand image. Moreover, claims or liabilities of this sort might not be covered by our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sales to a limited number of retailers for a substantial portion of our net sales and losing one or more such retailers may materially harm our business. In addition, we maintain “at-will” contracts with these retailers, which do not require recurring or minimum purchase amounts of our products.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amount of our sales are generated from a limited number of retailers. Sales to our largest retailer customer, Walmart Inc., represented approximately 31% of consolidated sales in fiscal year 2024, of which approximately 23% is through their mass retail channel and approximately 8% is through their Sam’s club and e-commerce channels. Sales to our next largest retailer, Amazon, represented approximately 18% of consolidated sales in fiscal year 2024. Although the composition of our significant retailers may vary from period to period, we expect most of our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or Amazon or our other significant customers will continue to purchase our products in the same quantities or on the same terms as in the past, particularly as increasingly powerful retailers continue to demand lower pricing.</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Conversely, occasionally, we may experience unanticipated increases in orders for our products from these retailers that can create supply chain problems and may cause unfilled orders. If we cannot meet increased demand for our products, our reputation with these retailers, and ultimately our consumers,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our U.S. operations, we utilize distribution centers in Greenfield, Indiana, Greenwood, Indiana, Romeoville, Illinois and Hackettstown, New Jersey. A substantial portion of our inventory is shipped directly to our retailers from these centers by a third-party logistics provider. Most of our other customers pick-up their orders at our distribution centers and arrange for delivery to their fulfillment network. A small percentage of our customers are shipped certain products directly from a co-manufacturing location. We rely significantly on the orderly operation of our distributions centers and logistics providers. If complications arise, a particular facility is damaged or destroyed or if either our third-party logistics partners or our customers who transport their own orders to their fulfillment network cannot meet their labor or other human capital needs for delivery drivers or other warehouse personnel or if trucking regulations affect current trucking norms (such as a shift to electric vehicles), our ability to deliver inventory timely or cost effectively could be significantly impaired, which could materially and adversely affect our business because of lost consumer purchases at retail thereby negatively affecting our operations.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logistics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Disruptions at our distribution facilities or in our operations due to natural or man-made disasters, pandemics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Severe weather conditions, natural disasters such as fires, floods, droughts, hurricanes, earthquakes and tornadoes, government regulation related to climate change, and the effects of climate change and geopolitical events can affect crop supplies, and supply chain infrastructure, and negatively affect the operating results of our business.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Severe weather conditions and natural disasters, such as fires, floods, droughts, frosts, hurricanes, earthquakes, tornadoes, insect infestations and plant disease, and geopolitical events may affect the supply of core ingredients and packaging used to make and protect food products or may prevent the manufacturing or distribution of food products by third parties. In addition, a number of these weather conditions could become even more severe over time because of the effects of climate change. Competing manufacturers might be affected differently by weather conditions, natural disasters, and geopolitical events depending on the location of their sources of supplies and manufacturing or distribution facilities. If supplies of core ingredients and packaging available to us are reduced, we may not find enough supplemental supply sources on favorable terms, which could materially and adversely affect our business, financial condition and results of operations. In addition, because we rely on few contract manufacturers for most of our manufacturing needs and because our distribution warehouses are all in a similar geographic location, adverse weather conditions could affect the ability for those third-party operators to manufacture, store or move our products.</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grow through mergers and acquisitions or joint ventures, and we may not successfully integrate, operate or realize the anticipated benefits of such business combinations.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strategic initiatives, we intend to pursue acquisitions or joint ventures, such as the OWYN Acquisition we completed during fiscal year 2024.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w:t>
      </w:r>
    </w:p>
    <w:p>
      <w:pPr>
        <w:sectPr>
          <w:pgSz w:w="11900" w:h="16838" w:orient="portrait"/>
          <w:cols w:equalWidth="0" w:num="1">
            <w:col w:w="11240"/>
          </w:cols>
          <w:pgMar w:left="320" w:top="927"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recognition. Potential acquisitions may entail significant transaction costs and require significant management time and distraction from our core business, even where we cannot consummate or decide not to pursue a particular transaction.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the integration of personnel with diverse backgrounds and organizational cultures, the coordination of sales and marketing functions and failure to obtain and retain key personnel of an acquired business. Failure to manage these acquisition growth risks could have an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the OWYN acquisition because of integration difficulties and other challenges.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completed the OWYN Acquisition in June 2024. The success of the OWYN acquisition will depend, in part, on our ability to realize all or some of the anticipated benefits from integrating OWYN’s business with our existing businesses. The integration process may be complex, costly and time-consuming. The difficulties of integrating the operations of OWYN’s business include, among others:</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our business plan for the combined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co-manufacturing, logistics, information, communications and other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inconsistencies in standards, controls, procedures and policies, and compensation structures between OWYN’s structure and our structure;</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applicable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integrating personnel from another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inherent in OWYN’s business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expenses and liabilities.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maintain the levels of net sales, earnings or operating efficiency that each company had achieved historically or might achieve separately. In addition, we may not accomplish the integration of OWYN’s business smoothly, successfully or within the anticipated costs or timeframe. If we experience difficulties with the integration process, the anticipated benefits of the acquisition may not be realized fully, or at all, or may take longer to realize than expected.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not provide adequate levels of coverage against claims.</w:t>
      </w:r>
    </w:p>
    <w:p>
      <w:pPr>
        <w:spacing w:after="0" w:line="256"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policies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our key executives and the strength of our talent positions throughout the organization. The sudden loss of key personnel or our failure to appropriately plan for any expected key executive succession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w:t>
      </w:r>
    </w:p>
    <w:p>
      <w:pPr>
        <w:sectPr>
          <w:pgSz w:w="11900" w:h="16838" w:orient="portrait"/>
          <w:cols w:equalWidth="0" w:num="1">
            <w:col w:w="11240"/>
          </w:cols>
          <w:pgMar w:left="320" w:top="688"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or breaches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 operate effectively, whether from maintenance problems, upgrading or transitioning to new 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instituted controls, including information system governance controls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increasingly rely on cloud computing and other technologies that result in third parties holding significant amounts of customer, consumer or employee information on our behalf. There has been an increase over the past several years in the frequency and sophistication of attempts to compromise the security of these systems. If the security and information systems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for limited information voluntarily submitted by users of our website, we typically do not collect or store consumer data or personal information, although we do share information to third-party providers to provide consumer advertising.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our third-party providers fail to maintain or protect our respective information technology systems and data integrity effectively, fail to implement new systems, update or expand existing systems, fail to provide necessary privacy law disclosures or fail to anticipate, plan for or manage significant disruptions to or compromises of systems involved in our operations, we could:</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existing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preventing, detecting, and controlling fraud;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disputes with customers, suppliers, distributors or others;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regulatory sanctions, including sanctions stemming from violations of the Health Insurance Portability and Accountability Act of 1996 or other federal or state privacy laws;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reputational harm,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unexpected costs to remediate any unauthorized access of our systems and implement protective measures against future attacks.</w:t>
      </w:r>
    </w:p>
    <w:p>
      <w:pPr>
        <w:spacing w:after="0" w:line="234" w:lineRule="exact"/>
        <w:rPr>
          <w:sz w:val="20"/>
          <w:szCs w:val="20"/>
          <w:color w:val="auto"/>
        </w:rPr>
      </w:pPr>
    </w:p>
    <w:p>
      <w:pPr>
        <w:jc w:val="both"/>
        <w:ind w:firstLine="256"/>
        <w:spacing w:after="0" w:line="266" w:lineRule="auto"/>
        <w:rPr>
          <w:sz w:val="20"/>
          <w:szCs w:val="20"/>
          <w:color w:val="auto"/>
        </w:rPr>
      </w:pPr>
      <w:r>
        <w:rPr>
          <w:rFonts w:ascii="Times New Roman" w:cs="Times New Roman" w:eastAsia="Times New Roman" w:hAnsi="Times New Roman"/>
          <w:sz w:val="18"/>
          <w:szCs w:val="18"/>
          <w:color w:val="auto"/>
        </w:rPr>
        <w:t>Because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Risks and Litigation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of our products must comply with federal, state and local regulations. Any non-compliance with the FDA or other applicable regulations could harm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it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often use the term “net carbohydrate” (or “net carbs”) on our existing product packaging. We determine the number of net carbs in a serving by subtracting fiber, and sugar alcohols if any, from the total carbohydrates listed on the NFP. It is possible that FDA regulations and/or their interpretations may materially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of which we are unaware. Any non-compliance at the state or local level could materially and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is regulated for accuracy, and if our advertising is determined to be false or misleading, we may face fines or sanctions.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 NAD both monitors national advertising and entertains inquiries and challenges from competing companies and consumers. Should our advertising be determined to be false or misleading, we may have to pay damages, revise or withdraw our campaign and possibly face fines or sanctions, which could have a material adverse effect on our sales and operating results.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8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14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drug laws (including FDA regulations);</w:t>
      </w:r>
    </w:p>
    <w:p>
      <w:pPr>
        <w:sectPr>
          <w:pgSz w:w="11900" w:h="16838" w:orient="portrait"/>
          <w:cols w:equalWidth="0" w:num="1">
            <w:col w:w="11240"/>
          </w:cols>
          <w:pgMar w:left="320" w:top="688"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8" w:name="page29"/>
    <w:bookmarkEnd w:id="28"/>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product labeling, advertising and marketing practices;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restricting the sale and advertising of certain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present in certain of our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reducing, restricting or eliminating ingredients or packaging present in certain of our products to meet government objectives to combat climate change or certain labor practices;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programs aimed at discouraging the consumption of products or ingredients or altering the package or portion size of certain of our products;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consumer protection and disclosure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requirements, including the imposition or proposed imposition of new or increased taxes or other limitations on the sale of our products; competition laws;</w:t>
      </w: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including the U.S. Foreign Corrupt Practices Act of 1977, as amended (the “FCPA”), and the UK Bribery Act of 2010 (the “Bribery Act”);</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sanctions and anti-boycott laws, including laws administered by the U.S. Department of Treasury, Office of Foreign Assets Control (“OFAC”) and the European Union (“EU”);</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are contract manufacturers are located;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regulating the price we may charge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from any required disclosures related to climate change;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transportation and environmental laws.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effect on our reputation.</w:t>
      </w:r>
    </w:p>
    <w:p>
      <w:pPr>
        <w:spacing w:after="0" w:line="256" w:lineRule="exact"/>
        <w:rPr>
          <w:sz w:val="20"/>
          <w:szCs w:val="20"/>
          <w:color w:val="auto"/>
        </w:rPr>
      </w:pPr>
    </w:p>
    <w:p>
      <w:pPr>
        <w:jc w:val="both"/>
        <w:ind w:firstLine="304"/>
        <w:spacing w:after="0" w:line="261" w:lineRule="auto"/>
        <w:rPr>
          <w:sz w:val="20"/>
          <w:szCs w:val="20"/>
          <w:color w:val="auto"/>
        </w:rPr>
      </w:pPr>
      <w:r>
        <w:rPr>
          <w:rFonts w:ascii="Times New Roman" w:cs="Times New Roman" w:eastAsia="Times New Roman" w:hAnsi="Times New Roman"/>
          <w:sz w:val="18"/>
          <w:szCs w:val="18"/>
          <w:color w:val="auto"/>
        </w:rPr>
        <w:t>Occasionally, we may defend against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Capital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and adversely affect our financial condition and ability to operate our company, and we may incur additional debt.</w:t>
      </w:r>
    </w:p>
    <w:p>
      <w:pPr>
        <w:spacing w:after="0" w:line="256" w:lineRule="exact"/>
        <w:rPr>
          <w:sz w:val="20"/>
          <w:szCs w:val="20"/>
          <w:color w:val="auto"/>
        </w:rPr>
      </w:pPr>
    </w:p>
    <w:p>
      <w:pPr>
        <w:jc w:val="both"/>
        <w:ind w:firstLine="196"/>
        <w:spacing w:after="0" w:line="258" w:lineRule="auto"/>
        <w:rPr>
          <w:sz w:val="20"/>
          <w:szCs w:val="20"/>
          <w:color w:val="auto"/>
        </w:rPr>
      </w:pPr>
      <w:r>
        <w:rPr>
          <w:rFonts w:ascii="Times New Roman" w:cs="Times New Roman" w:eastAsia="Times New Roman" w:hAnsi="Times New Roman"/>
          <w:sz w:val="18"/>
          <w:szCs w:val="18"/>
          <w:color w:val="auto"/>
        </w:rPr>
        <w:t>As of August 31, 2024, we had approximately $400 million in outstanding term loan indebtedness and a revolving credit facility with availability of up to $75 million with no amounts drawn on that revolving credit facility.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210"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facilities governing our debt arrangements contain financial and other covenants.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may adversely affect our earnings and cash flows.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indebtedness under our revolving credit facility bears interest at variable interest rates that use the Secured Overnight Financing Rate (“SOFR”) as a benchmark rate. SOFR is calculated based on short-term repurchase agreements, backed by Treasury securities. SOFR is observed and backward looking. Given SOFR is a secured rate backed by government securities, it is a rate that does not take into account bank credit risk. SOFR is therefore less likely to correlate with the funding costs of financial institutions.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this time, it is not possible to predict the effect of any establishment of alternative reference rates or any other reforms that may be enacted in the United Kingdom or elsewhere. Uncertainty as to the nature of such potential changes, alternative reference rates, including SOFR, or other reforms may adversely affect the trading market for SOFR-based securities, including ours. As a result, our interest expense may increase, our ability to refinance some or all our existing indebtedness may be affected, and our available cash flow may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it may not be available on acceptable terms or at all.</w:t>
      </w:r>
    </w:p>
    <w:p>
      <w:pPr>
        <w:spacing w:after="0" w:line="256"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because of operating as a public company, and our management has been and will continue to be required to devote substantial time to compliance efforts.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accounting, insurance and other expenses because of being a public company. The Dodd-Frank Wall Street Reform and Customer Protection Act (the “Dodd-Frank Act”) and the Sarbanes-Oxley Act of 2002 (the “Sarbanes-Oxley Act”), and related rules implemented by the SEC and listing exchange rules and requirements,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 accounting costs, and make some activities more time-consuming and costly. We may be unable to hire, train or retain necessary staff and may be reliant on engaging outside consultants or professionals, which could adversely affect our business if our internal infrastructure is inadequate to fulfill our public company obligations. These laws, regulations and rules, including new compensation clawback rules,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more investors and other market professionals are expecting more detailed environmental, social and governance or ESG reporting from public companies of our size that are currently produced by public companies with human and financial resources that are greater than ours. Furthermore, the SEC has adopted rule changes, and the State of California has enacted legislation that would require us to include certain climate-related disclosures, including greenhouse gas emission data with third-party attestation and climate-related financial statement metrics in a note to their audited financial statements. These rules and legislation may require us to change our accounting policies, to alter our operational policies and to implement new or enhance existing systems so that they reflect new or amended financial reporting standards, or to restate our published financial statements. Such changes may have an adverse effect on our business, financial position and operating results, or cause an adverse deviation from our revenue and operating profit targets, which may negatively affect our financial results.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0" w:name="page31"/>
    <w:bookmarkEnd w:id="3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we expect to incur additional expenses to meet these reporting expectations as well as any climate related reporting mandated in the future by government regulations.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implement appropriate systems, procedures and controls, we may not be able to successfully procure, offer or ship our products, grow our business and account for transactions in an appropriate and timely manner.</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have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 current and future changes in our business. Failure to implement promptly appropriate internal systems, procedures and controls could materially and adversely affect our business,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Remediation measures may from time to time be time consuming and costly and there is no assurance that the remedial measures we have taken to date, or any remedial measures we may take in the future, will be sufficient to avoid potential future material weaknesses. A material weakness will not be considered remediated until a sustained period of time has passed to allow management to test the design and operational effectiveness of the corrective actions.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identify material weaknesses in the future, which could limit our ability to prevent or detect a material misstatement of our annual or interim financial statements. The occurrence of, or failure to remediate, any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our the market price of our common stock.</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historical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56" w:lineRule="exact"/>
        <w:rPr>
          <w:sz w:val="20"/>
          <w:szCs w:val="20"/>
          <w:color w:val="auto"/>
        </w:rPr>
      </w:pPr>
    </w:p>
    <w:p>
      <w:pPr>
        <w:jc w:val="both"/>
        <w:ind w:firstLine="181"/>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86"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20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materially and adversely affect our business, financial condition and results of operations.</w:t>
      </w:r>
    </w:p>
    <w:p>
      <w:pPr>
        <w:spacing w:after="0" w:line="256" w:lineRule="exact"/>
        <w:rPr>
          <w:sz w:val="20"/>
          <w:szCs w:val="20"/>
          <w:color w:val="auto"/>
        </w:rPr>
      </w:pPr>
    </w:p>
    <w:p>
      <w:pPr>
        <w:jc w:val="both"/>
        <w:ind w:firstLine="229"/>
        <w:spacing w:after="0" w:line="253" w:lineRule="auto"/>
        <w:rPr>
          <w:sz w:val="20"/>
          <w:szCs w:val="20"/>
          <w:color w:val="auto"/>
        </w:rPr>
      </w:pPr>
      <w:r>
        <w:rPr>
          <w:rFonts w:ascii="Times New Roman" w:cs="Times New Roman" w:eastAsia="Times New Roman" w:hAnsi="Times New Roman"/>
          <w:sz w:val="18"/>
          <w:szCs w:val="18"/>
          <w:color w:val="auto"/>
        </w:rPr>
        <w:t>Adverse and uncertain economic conditions, such as those caused by the inflationary environment, geopolitical events and public health emergencies have, in the past affected, and, in the future, may affect distributor, retailer and consumer demand for our products. In addition, our ability to manage normal commercial relationships with our suppliers, contract manufacturers, distributors, retailers, consumers and creditors may suffer. Consumers may shift purchases to lower-priced or other perceived value offerings during economic downturns and periods of high inflation, making it more difficult to sell our premium products. Due to the relative costs of our products, during economic downturns and periods of high inflation, it may be more difficult to convince consumers to switch to or continue to use our brands or convince new users to choose our brands without expensive sampling programs and price promotions.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provide products that appeal to consumers at prices they are willing and able to pay. Prolonged unfavorable economic conditions may have an adverse effect on our sales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regulatory, economic, political and social risks in the countries in which we operate.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nutritional approaches and perceptions of our brands and business operations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export controls and economic sanctions programs, including those administered by the OFAC.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continued expansion outside the United States, including in developing countries, and our development of new partnerships and joint venture relationships worldwide, could increase the risk of FCPA, OFAC or other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fluctuations in exchange rates, which may materially and adversely affect our operating results.</w:t>
      </w:r>
    </w:p>
    <w:p>
      <w:pPr>
        <w:spacing w:after="0" w:line="256" w:lineRule="exact"/>
        <w:rPr>
          <w:sz w:val="20"/>
          <w:szCs w:val="20"/>
          <w:color w:val="auto"/>
        </w:rPr>
      </w:pPr>
    </w:p>
    <w:p>
      <w:pPr>
        <w:jc w:val="both"/>
        <w:ind w:firstLine="249"/>
        <w:spacing w:after="0" w:line="261" w:lineRule="auto"/>
        <w:rPr>
          <w:sz w:val="20"/>
          <w:szCs w:val="20"/>
          <w:color w:val="auto"/>
        </w:rPr>
      </w:pPr>
      <w:r>
        <w:rPr>
          <w:rFonts w:ascii="Times New Roman" w:cs="Times New Roman" w:eastAsia="Times New Roman" w:hAnsi="Times New Roman"/>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third-party manufacturing is completed in Canada. Any U.S. dollar weakness may therefore materially and adversely affect revenue and cash flows while also increasing supply and manufacturing costs.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Centerview Capital Holdings LLC (“Centerview Capital”) and Centerview Partners and their respective affiliates, excepted as provided below.</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and restated certificate of incorporation provides that, to the extent allowed by law, the doctrine of “corporate opportunity” does not apply with respect to the directors, officers, employees or representatives of Centerview Capital, Centerview Partners, our original sponsor,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w:t>
      </w:r>
    </w:p>
    <w:p>
      <w:pPr>
        <w:sectPr>
          <w:pgSz w:w="11900" w:h="16838" w:orient="portrait"/>
          <w:cols w:equalWidth="0" w:num="1">
            <w:col w:w="11240"/>
          </w:cols>
          <w:pgMar w:left="320" w:top="688"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we may not know of, or be able to pursue, transactions that could potentially be beneficial to us. Accordingly, we may lose a corporate opportunity or suffer competitive harm, which could negatively affect our business or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Leadership</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enterprise risk management framework considers cybersecurity risk alongside other risks as part of our overall enterprise risk assessment process. As part of our enterprise risk management, we maintain a comprehensive information technology, data governance and cybersecurity program that leverages people, processes and technology, to support the effectiveness of our information technology systems and identify, prevent and mitigate information technology and data security risks. Our cybersecurity program is aligned to the National Institute of Standards and Technology (NIST) Cybersecurity Framework (CSF). Our cybersecurity team utilizes a variety of tools, processes and outside resources to continue to evolve and maintain our cybersecurity program’s maturity across the elements of NIST CSF.</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focused on detecting, identifying, defending against and mitigating the effect of cybersecurity risks to guard our information technology systems and protect the confidentiality, integrity, and availability of our information technology processes and data. Our Board of Directors is responsible for the oversight of cybersecurity risks, including through the delegation of certain cybersecurity oversight authority to the Audit Committee of the Board.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also addresses cybersecurity risks associated with our use of third-party service providers.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analysis regularly.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information security function and management team is led by our Chief Information Officer, who has approximately 26 years of experience in the information technology area and reports to our Chief Financial Officer and our Director of Infrastructure and Controls. Our Director of Infrastructure and Controls has approximately 20 years of experience in the information technology area.</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information security team is responsible for monitoring, managing, assessing and mitigating cybersecurity risks and threats on a day-to-day basis and is responsible for improving and strengthening our cybersecurity environment. As discussed below, the information security team works with nationally recognized third parties and licenses various cybersecurity tools and products to assist with assessing and managing cybersecurity risks. The information security team regularly interacts and discusses cybersecurity matters with our Chief Financial Officer and a member of our Board who serves as the Board’s primary contact on cybersecurity matters as a part of our company-wide risk management system. The information security team has plans and processes in place to escalate certain cybersecurity issues to senior management and the Board or the Audit Committee, including to determine whether, when and how to publicly disclose any material cybersecurity event. In addition, we maintain insurance to help reduce our exposure from potential losses should a cybersecurity incident arise.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security team undertakes or engages in these practices and activities, among others, as part of the Company’s risk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3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of software and hardware (including firmware) for vulnerabilities and required patches;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employee training and education to identify and avoid cybersecurity risks and threats;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implementing and testing incident response and information recovery plans to assess and respond to cybersecurity threats and incidents;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our internal audit function and other internal teams for testing cybersecurity controls and procedures;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managing cybersecurity risks presented by third parties, including cybersecurity vendors, cybersecurity software and hardware providers, other vendors and customers, service providers and other parties with access to our systems and data; and the systems of third parties that could adversely affect our operations or business in the event of a cybersecurity incident affecting those third-party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threat intelligence systems and notification procedures;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technology solutions for cybersecurity prevention and defense, including outside firewalls, multi-factor authentication systems, separate intrusion prevention and detection systems, anti-virus and anti-malware products and remote access controls.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Third Parties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engaged, and intend to continue to engage, nationally recognized third parties to assist us in assessing, among other things:</w:t>
      </w:r>
    </w:p>
    <w:p>
      <w:pPr>
        <w:sectPr>
          <w:pgSz w:w="11900" w:h="16838" w:orient="portrait"/>
          <w:cols w:equalWidth="0" w:num="1">
            <w:col w:w="11240"/>
          </w:cols>
          <w:pgMar w:left="320" w:top="688"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4" w:name="page35"/>
    <w:bookmarkEnd w:id="34"/>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cybersecurity risks;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identification;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neutralization;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environment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and social engineering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practices for continued compliance and training.</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risks or threats are identified to us by a third party, the information security team is responsible for assessing the risk or threat and determining a course of action to mitigate the risk or neutralize the threat.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Cybersecurity Events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no previous cybersecurity incidents have materially affected the Company, a cybersecurity incident could have a material effect on our results of operations and financial condition. As described above under “Item 1A-Risk Factors - Any inadequacy, failure or interruption of our information technology systems may harm our ability to effectively operate our business, and our business is subject to online security risks, including security breaches and identity theft,” a material cybersecurity incident could disrupt our business, lead to the loss of data or cause us to suffer financial and/or reputational damage, in addition to litigation or remediation costs or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oversees cybersecurity risk through multiple methods. The Audit Committee of the Board has been delegated certain cybersecurity oversight responsibility and, among other things, receives quarterly updates and presentations from our Chief Information Officer regarding our cybersecurity environment, cybersecurity risks and threats, cybersecurity projects we have implemented and plan to implement and other cybersecurity developments. The chair of the Audit Committee reports to the full Board after each meeting. In addition, our information security team regularly interacts and discusses cybersecurity matters with a member of the Board who serves as the Board’s primary contact on cybersecurity matters as part of our company-wide risk management system. On a quarterly basis, the Board receives a Quarterly Enterprise Risk Assessment Update that typically includes content regarding Information Technology systems and 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3" w:lineRule="exact"/>
        <w:rPr>
          <w:sz w:val="20"/>
          <w:szCs w:val="20"/>
          <w:color w:val="auto"/>
        </w:rPr>
      </w:pPr>
    </w:p>
    <w:p>
      <w:pPr>
        <w:jc w:val="both"/>
        <w:ind w:firstLine="204"/>
        <w:spacing w:after="0" w:line="244" w:lineRule="auto"/>
        <w:rPr>
          <w:sz w:val="20"/>
          <w:szCs w:val="20"/>
          <w:color w:val="auto"/>
        </w:rPr>
      </w:pPr>
      <w:r>
        <w:rPr>
          <w:rFonts w:ascii="Times New Roman" w:cs="Times New Roman" w:eastAsia="Times New Roman" w:hAnsi="Times New Roman"/>
          <w:sz w:val="18"/>
          <w:szCs w:val="18"/>
          <w:color w:val="auto"/>
        </w:rPr>
        <w:t>Our corporate headquarters is located at 1225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 Suite 1000, Denver, CO 80202. We lease this property, which occupies approximately 27,600 square feet. In addition, we lease or otherwise have rights to use office space and storage space in El Segundo, California, Broomfield, Colorado, Bentonville metro-area, Arkansas, and Naples, Florida. We also lease two distribution centers in Greenfield, Indiana. We utilize over 1.29 million square feet of floor space among our distribution centers. Having completed the OWYN Acquisition in June 2024, we are currently evaluating the OWYN brand’s warehouse operations and integration activities. For OWYN, we currently utilize a total of 200,000 square feet of floor space in four warehouses for finished goods which are located in Greenfield, Indiana, Greenwood, Indiana, Romeoville, Illinois and Hackettstown, New Jersey.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common stock is currently quoted on the Nasdaq Capital Market under the symbol “SMPL.”</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October 18, 2024, there were 100,221,529 shares outstanding and 10 record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195"/>
        <w:spacing w:after="0" w:line="258" w:lineRule="auto"/>
        <w:rPr>
          <w:sz w:val="20"/>
          <w:szCs w:val="20"/>
          <w:color w:val="auto"/>
        </w:rPr>
      </w:pPr>
      <w:r>
        <w:rPr>
          <w:rFonts w:ascii="Times New Roman" w:cs="Times New Roman" w:eastAsia="Times New Roman" w:hAnsi="Times New Roman"/>
          <w:sz w:val="18"/>
          <w:szCs w:val="18"/>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adopted a $50.0 million stock repurchase program on November 13, 2018. On April 13, 2022, and October 21, 2022, we announced that our Board of Directors had approved the addition of $50.0 million and $50.0 million, respectively, to our stock repurchase program, resulting in authorized stock repurchases of up to an aggregate of $150.0 million. We did not repurchase any shares of our common stock under our stock repurchase program during the quarter ended August 31, 2024. As of August 31, 2024, approximately $71.5 million remained available under the stock repurchase program. Under the stock repurchase program, we may repurchase shares from time to time in the open market or in privately negotiated transactions. The stock repurchase program does not obligate us to acquire any specific number of shares or acquire shares over any specific period of time. We may suspend or discontinue the stock repurchase program at any time, and the stock repurchase program does not have an expiration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stockholder return over the last five fiscal years for (i) the Company’s common stock, (ii) the Standard &amp; Poor’s 500 Index, and (iii) the Standard &amp; Poor’s 500 Packaged Foods &amp; Meats Index. The graph assumes the value of the investment in our common stock and each index was $100.00 on August 31, 2019, and assumes reinvestment of any dividends.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377940" cy="3566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Annual Return Percentage</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Fiscal Years Ending</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Company Name / Index</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August 31, 2019</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29, 2020</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28, 2021</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27, 2022</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August 26,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August 31, 2024</w:t>
            </w:r>
          </w:p>
        </w:tc>
        <w:tc>
          <w:tcPr>
            <w:tcW w:w="0" w:type="dxa"/>
            <w:vAlign w:val="bottom"/>
          </w:tcPr>
          <w:p>
            <w:pPr>
              <w:spacing w:after="0"/>
              <w:rPr>
                <w:sz w:val="1"/>
                <w:szCs w:val="1"/>
                <w:color w:val="auto"/>
              </w:rPr>
            </w:pPr>
          </w:p>
        </w:tc>
      </w:tr>
      <w:tr>
        <w:trPr>
          <w:trHeight w:val="81"/>
        </w:trPr>
        <w:tc>
          <w:tcPr>
            <w:tcW w:w="236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Simply Good Foods Company</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85.69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119.30</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106.34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106.01</w:t>
            </w:r>
          </w:p>
        </w:tc>
        <w:tc>
          <w:tcPr>
            <w:tcW w:w="0" w:type="dxa"/>
            <w:vAlign w:val="bottom"/>
          </w:tcPr>
          <w:p>
            <w:pPr>
              <w:spacing w:after="0"/>
              <w:rPr>
                <w:sz w:val="1"/>
                <w:szCs w:val="1"/>
                <w:color w:val="auto"/>
              </w:rPr>
            </w:pPr>
          </w:p>
        </w:tc>
      </w:tr>
      <w:tr>
        <w:trPr>
          <w:trHeight w:val="247"/>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119.87</w:t>
            </w:r>
          </w:p>
        </w:tc>
        <w:tc>
          <w:tcPr>
            <w:tcW w:w="14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154.09</w:t>
            </w:r>
          </w:p>
        </w:tc>
        <w:tc>
          <w:tcPr>
            <w:tcW w:w="140" w:type="dxa"/>
            <w:vAlign w:val="bottom"/>
          </w:tcPr>
          <w:p>
            <w:pPr>
              <w:spacing w:after="0"/>
              <w:rPr>
                <w:sz w:val="21"/>
                <w:szCs w:val="21"/>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138.65</w:t>
            </w:r>
          </w:p>
        </w:tc>
        <w:tc>
          <w:tcPr>
            <w:tcW w:w="14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149.99</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191.79</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36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S&amp;P 500 Packaged Foods &amp; Meats</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108.26</w:t>
            </w:r>
          </w:p>
        </w:tc>
        <w:tc>
          <w:tcPr>
            <w:tcW w:w="14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107.98</w:t>
            </w: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120.17</w:t>
            </w:r>
          </w:p>
        </w:tc>
        <w:tc>
          <w:tcPr>
            <w:tcW w:w="14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114.91</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115.37</w:t>
            </w:r>
          </w:p>
        </w:tc>
        <w:tc>
          <w:tcPr>
            <w:tcW w:w="0" w:type="dxa"/>
            <w:vAlign w:val="bottom"/>
          </w:tcPr>
          <w:p>
            <w:pPr>
              <w:spacing w:after="0"/>
              <w:rPr>
                <w:sz w:val="1"/>
                <w:szCs w:val="1"/>
                <w:color w:val="auto"/>
              </w:rPr>
            </w:pPr>
          </w:p>
        </w:tc>
      </w:tr>
      <w:tr>
        <w:trPr>
          <w:trHeight w:val="198"/>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w:t>
            </w:r>
          </w:p>
        </w:tc>
        <w:tc>
          <w:tcPr>
            <w:tcW w:w="3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i w:val="1"/>
          <w:iCs w:val="1"/>
          <w:color w:val="auto"/>
        </w:rPr>
        <w:t>Our fiscal year ends the last Saturday in August. Our fiscal year 2024 ended August 31, 2024, was a fifty-three week period. Our fiscal years 2023 and 2022 ended August 26, 2023, and August 27, 2022, respectively, were each fifty-two week periods. Our fiscal quarters are comprised of thirteen weeks each, except for fifty-three week fiscal periods for which the fourth quarter is comprised of fourteen weeks, and end on the thirteenth Saturday of each quarter (fourteenth Saturday of the fourth quarter, when applicable). Our fiscal quarters for fiscal 2024 ended on November 25, 2023, February 24, 2024, May 25, 2024, and August 31, 2024.</w:t>
      </w:r>
    </w:p>
    <w:p>
      <w:pPr>
        <w:spacing w:after="0" w:line="21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Atkins, and OWYN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that end, in June 2024, we completed the acquisition of Only What You Need, Inc., a plant-based protein food company, for a cash purchase price of approximately $280.0 million (subject to customary adjustments). For more information, please see “</w:t>
      </w:r>
      <w:r>
        <w:rPr>
          <w:rFonts w:ascii="Times New Roman" w:cs="Times New Roman" w:eastAsia="Times New Roman" w:hAnsi="Times New Roman"/>
          <w:sz w:val="18"/>
          <w:szCs w:val="18"/>
          <w:i w:val="1"/>
          <w:iCs w:val="1"/>
          <w:color w:val="auto"/>
        </w:rPr>
        <w:t>Liquidity and Capital Resources-OWYN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215"/>
        <w:spacing w:after="0" w:line="256"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Atkins for those following a low-carb lifestyle, and OWYN for those looking for a plant-based ready-to-drink protein shake offering.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201"/>
        <w:spacing w:after="0" w:line="254" w:lineRule="auto"/>
        <w:rPr>
          <w:sz w:val="20"/>
          <w:szCs w:val="20"/>
          <w:color w:val="auto"/>
        </w:rPr>
      </w:pPr>
      <w:r>
        <w:rPr>
          <w:rFonts w:ascii="Times New Roman" w:cs="Times New Roman" w:eastAsia="Times New Roman" w:hAnsi="Times New Roman"/>
          <w:sz w:val="18"/>
          <w:szCs w:val="18"/>
          <w:color w:val="auto"/>
        </w:rPr>
        <w:t>Our consolidated results of operations for the fiscal year ended August 31, 2024, were driven by volume, an additional week of activity with fiscal year 2024 having fifty-three weeks, and successfully completing the OWYN Acquisition; and the reversal of the unfavorable effects of higher raw material costs, higher co-manufacturing costs, and supply chain challenges including supply chain disruptions resulting from labor shortages and disruptions in ingredients in fiscal year 2023. For the fiscal year ended August 31, 2024, the Company benefited from lower ingredient and packaging costs which resulted in gross margin expansion compared to fiscal 2023. The Company continues to engage and have discussions with its contract manufacturers and logistics and transportation providers to have its cost structure reflect lower market prices. The Company is monitoring key ingredient inflation which may affect profitability; however we believe the Company's strategy and positioning will continue to drive profitable growth for our product offerings and growth within the growing nutritional snacking category.</w:t>
      </w:r>
    </w:p>
    <w:p>
      <w:pPr>
        <w:spacing w:after="0" w:line="219"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7" w:lineRule="exact"/>
        <w:rPr>
          <w:sz w:val="20"/>
          <w:szCs w:val="20"/>
          <w:color w:val="auto"/>
        </w:rPr>
      </w:pPr>
    </w:p>
    <w:p>
      <w:pPr>
        <w:jc w:val="both"/>
        <w:ind w:firstLine="189"/>
        <w:spacing w:after="0" w:line="282" w:lineRule="auto"/>
        <w:rPr>
          <w:sz w:val="20"/>
          <w:szCs w:val="20"/>
          <w:color w:val="auto"/>
        </w:rPr>
      </w:pPr>
      <w:r>
        <w:rPr>
          <w:rFonts w:ascii="Times New Roman" w:cs="Times New Roman" w:eastAsia="Times New Roman" w:hAnsi="Times New Roman"/>
          <w:sz w:val="18"/>
          <w:szCs w:val="18"/>
          <w:color w:val="auto"/>
        </w:rPr>
        <w:t>Please also see the information under Item 1A. “Risk Factors” for additional information regarding the risks of inflation, higher raw material, packaging, co-manufacturing, and logistics costs, and supply chain challenges.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Our Reportable Segment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fifty-three weeks ended August 31, 2024, following the OWYN Acquisition, we determined our operations are organized into two operating segments, Quest and Atkins, and OWYN,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a result, during the fifty-three weeks ended August 31, 2024, the Company determined its operations are organized into two operating segments, which were aggregated into one reporting segment. Previously, during the fifty-two weeks ended August 26, 2023, and August 27, 2022, we determined our operations were organized into one consolidated operating segment and reportable segment.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payable to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2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transaction costs. The following is a brief description of the components of operating expenses:</w:t>
      </w:r>
    </w:p>
    <w:p>
      <w:pPr>
        <w:spacing w:after="0" w:line="4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5"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74"/>
        <w:spacing w:after="0" w:line="256" w:lineRule="auto"/>
        <w:rPr>
          <w:sz w:val="20"/>
          <w:szCs w:val="20"/>
          <w:color w:val="auto"/>
        </w:rPr>
      </w:pPr>
      <w:r>
        <w:rPr>
          <w:rFonts w:ascii="Times New Roman" w:cs="Times New Roman" w:eastAsia="Times New Roman" w:hAnsi="Times New Roman"/>
          <w:sz w:val="18"/>
          <w:szCs w:val="18"/>
          <w:color w:val="auto"/>
        </w:rPr>
        <w:t>During the fifty-three weeks ended August 31, 2024, our net sales increased $88.6 million, or 7.1%, to $1,331.3 million compared to net sales of $1,242.7 million for the fifty-two weeks ended August 26, 2023, driven by Quest volume growth, an additional week of activity with fiscal year 2024 having 53 weeks, and the OWYN Acquisition, which more than offset continued softness in Atkins net sales. Gross profit and gross profit margin improved due to higher sales volumes and lower ingredient and packaging costs. We expect to see continued growth during fiscal year 2025 by building on our existing capabilities and strengthening the position of our brands in the marketplace. We will continue to invest in our business and improve our operating efficiencies as well as proceeding with the integration of OWYN.</w:t>
      </w:r>
    </w:p>
    <w:p>
      <w:pPr>
        <w:spacing w:after="0" w:line="214"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7" w:lineRule="exact"/>
        <w:rPr>
          <w:sz w:val="20"/>
          <w:szCs w:val="20"/>
          <w:color w:val="auto"/>
        </w:rPr>
      </w:pPr>
    </w:p>
    <w:p>
      <w:pPr>
        <w:jc w:val="both"/>
        <w:ind w:firstLine="246"/>
        <w:spacing w:after="0" w:line="261"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fifty-three weeks ended August 31, 2024, compared to the fifty-two weeks ended August 26, 2023, is presented below. A discussion regarding our financial condition and results of operations for the fifty-two weeks ended August 26, 2023, compared to the fifty-two weeks ended August 27, 2022, can be found under Item 7 of our Annual Report on Form 10-K for the fiscal year ended August 26, 2023, filed with the SEC on October 24,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Fifty-Three Weeks Ended August 31, 2024, and the Fifty-Two Weeks Ended August 26, 2023</w:t>
      </w:r>
    </w:p>
    <w:p>
      <w:pPr>
        <w:spacing w:after="0" w:line="256" w:lineRule="exact"/>
        <w:rPr>
          <w:sz w:val="20"/>
          <w:szCs w:val="20"/>
          <w:color w:val="auto"/>
        </w:rPr>
      </w:pPr>
    </w:p>
    <w:p>
      <w:pPr>
        <w:ind w:right="20" w:firstLine="184"/>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selected information from our consolidated financial results, including information presented as a percentage of net sales:</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of Net</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of Net</w:t>
            </w:r>
          </w:p>
        </w:tc>
        <w:tc>
          <w:tcPr>
            <w:tcW w:w="0" w:type="dxa"/>
            <w:vAlign w:val="bottom"/>
          </w:tcPr>
          <w:p>
            <w:pPr>
              <w:spacing w:after="0"/>
              <w:rPr>
                <w:sz w:val="1"/>
                <w:szCs w:val="1"/>
                <w:color w:val="auto"/>
              </w:rPr>
            </w:pPr>
          </w:p>
        </w:tc>
      </w:tr>
      <w:tr>
        <w:trPr>
          <w:trHeight w:val="21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vMerge w:val="restart"/>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13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vMerge w:val="restart"/>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Sales</w:t>
            </w:r>
          </w:p>
        </w:tc>
        <w:tc>
          <w:tcPr>
            <w:tcW w:w="0" w:type="dxa"/>
            <w:vAlign w:val="bottom"/>
          </w:tcPr>
          <w:p>
            <w:pPr>
              <w:spacing w:after="0"/>
              <w:rPr>
                <w:sz w:val="1"/>
                <w:szCs w:val="1"/>
                <w:color w:val="auto"/>
              </w:rPr>
            </w:pPr>
          </w:p>
        </w:tc>
      </w:tr>
      <w:tr>
        <w:trPr>
          <w:trHeight w:val="84"/>
        </w:trPr>
        <w:tc>
          <w:tcPr>
            <w:tcW w:w="478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1,242,672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819,755</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789,252</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63.5 %</w:t>
            </w:r>
          </w:p>
        </w:tc>
        <w:tc>
          <w:tcPr>
            <w:tcW w:w="0" w:type="dxa"/>
            <w:vAlign w:val="bottom"/>
          </w:tcPr>
          <w:p>
            <w:pPr>
              <w:spacing w:after="0"/>
              <w:rPr>
                <w:sz w:val="1"/>
                <w:szCs w:val="1"/>
                <w:color w:val="auto"/>
              </w:rPr>
            </w:pPr>
          </w:p>
        </w:tc>
      </w:tr>
      <w:tr>
        <w:trPr>
          <w:trHeight w:val="23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511,566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453,420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119,489</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111,566</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305,069</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248,471</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59"/>
        </w:trPr>
        <w:tc>
          <w:tcPr>
            <w:tcW w:w="4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206,497</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204,949</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59"/>
        </w:trPr>
        <w:tc>
          <w:tcPr>
            <w:tcW w:w="4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53"/>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(26,029)</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60"/>
        </w:trPr>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4"/>
        </w:trPr>
        <w:tc>
          <w:tcPr>
            <w:tcW w:w="4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186,050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175,692</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53"/>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42,117</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133,575</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269,130</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245,555</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hanging="330"/>
        <w:spacing w:after="0" w:line="232" w:lineRule="auto"/>
        <w:tabs>
          <w:tab w:leader="none" w:pos="48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metric. See “Reconciliation of EBITDA and Adjusted EBITDA” below for a reconciliation of net income to EBITDA and Adjusted EBITDA for each applicable period.</w:t>
      </w:r>
    </w:p>
    <w:p>
      <w:pPr>
        <w:spacing w:after="0" w:line="215"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$1,331.3 million represented an increase of $88.6 million, or 7.1%, for the fifty-three weeks ended August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fifty-two weeks ended August 26, 2023. The increase in net sales was primarily driven by Quest volume growth and the OWYN Acquisition, which contributed 2.4% of the increase, and partially offset by continued softness in Atkins net sales.</w:t>
      </w:r>
    </w:p>
    <w:p>
      <w:pPr>
        <w:spacing w:after="0" w:line="198"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Cost of goods sold increased $30.5 million, or 3.9%, for the fifty-three weeks ended August 31, 2024,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26, 2023. The cost of goods sold increase was primarily driven by higher sales volumes and the effect of the non-cash $3.2 million inventory step-up charge related to the OWYN Acquisition.</w:t>
      </w:r>
    </w:p>
    <w:p>
      <w:pPr>
        <w:spacing w:after="0" w:line="198" w:lineRule="exact"/>
        <w:rPr>
          <w:sz w:val="20"/>
          <w:szCs w:val="20"/>
          <w:color w:val="auto"/>
        </w:rPr>
      </w:pPr>
    </w:p>
    <w:p>
      <w:pPr>
        <w:jc w:val="both"/>
        <w:ind w:firstLine="20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of $511.6 million increased $58.1 million, or 12.8%, for the fifty-three weeks ended August 31, 2024, compared to the fifty-two weeks ended August 26, 2023. Gross profit as a percentage of net sales was 38.4% for the fifty-three weeks ended August 31, 2024, an increase of 190 basis points from 36.5% of net sales for the fifty-two weeks ended August 26, 2023. The increase in gross profit margin was primarily driven by lower ingredient and packaging costs and was partially offset by the effect of the non-cash $3.2 million inventory step-up charge related to the OWYN Acquisition.</w:t>
      </w:r>
    </w:p>
    <w:p>
      <w:pPr>
        <w:spacing w:after="0" w:line="206"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Operating expenses increased $56.6 million, or 22.8%, for the fifty-three weeks ended August 31, 2024,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26, 2023, due to the following:</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0" w:name="page41"/>
    <w:bookmarkEnd w:id="40"/>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increased $24.4 million, or 20.5%, for the fifty-three weeks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fifty-two weeks ended August 26, 2023. The increase was primarily related to increased investments in marketing growth initiatives of $20.1 million and the OWYN Acquisition of $2.1 million.</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$18.1 million, or 16.3%, for the fifty-three weeks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fifty-two weeks ended August 26, 2023. The increase was primarily attributable to an increase of $7.8 million of employee-related costs, $3.9 million in stock-based compensation expense, $3.7 million related to the OWYN Acquisition, higher executive transition costs, and higher corporate expenses and other costs.</w:t>
      </w:r>
    </w:p>
    <w:p>
      <w:pPr>
        <w:spacing w:after="0" w:line="58"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were $16.9 million and $17.4 million for the fifty-three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31, 2024, compared to the fifty-two weeks ended August 26, 2023, respectively.</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$14.5 million for the fifty-three weeks ended August 31, 2024,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OWYN Acquisition, including $5.7 million of transaction advisory fees, $3.4 million of non-deferrable third-party financing costs incurred in connection with the 2024 Incremental Facility Amendment to the Credit Agreement (as defined below), and $5.4 million of legal, due diligence, accounting, and other costs.</w:t>
      </w:r>
    </w:p>
    <w:p>
      <w:pPr>
        <w:spacing w:after="0" w:line="216" w:lineRule="exact"/>
        <w:rPr>
          <w:sz w:val="20"/>
          <w:szCs w:val="20"/>
          <w:color w:val="auto"/>
        </w:rPr>
      </w:pPr>
    </w:p>
    <w:p>
      <w:pPr>
        <w:jc w:val="both"/>
        <w:ind w:firstLine="2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$3.2 million or 276.5% to $4.3 million for the fifty-three weeks ended August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 million of interest income for the fifty-two weeks ended August 26, 2023, primarily due to higher cash balances, the increase in interest rates, and other sources of interest income.</w:t>
      </w:r>
    </w:p>
    <w:p>
      <w:pPr>
        <w:spacing w:after="0" w:line="198" w:lineRule="exact"/>
        <w:rPr>
          <w:sz w:val="20"/>
          <w:szCs w:val="20"/>
          <w:color w:val="auto"/>
        </w:rPr>
      </w:pPr>
    </w:p>
    <w:p>
      <w:pPr>
        <w:jc w:val="both"/>
        <w:ind w:firstLine="26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$4.0 million for the fifty-three weeks ended August 31, 2024, compared to the fifty-two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26, 2023, primarily due to the effect of principal prepayments reducing the outstanding balance of the Term Facility (defined below) during a majority of the fiscal year prior to the incremental borrowing made in June 2024. Additionally, interest expense related to the amortization of deferred financing costs and debt discount decreased $0.7 million for the fifty-three weeks ended August 31, 2024, compared to the fifty-two weeks ended August 26, 2023. Interest expense is expected to increase in fiscal year 2025 as a result of the incremental borrowing to fund in part the OWYN Acquisition.</w:t>
      </w:r>
    </w:p>
    <w:p>
      <w:pPr>
        <w:spacing w:after="0" w:line="206"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an immaterial gain and an immaterial loss for the fifty-three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31, 2024, and August 26, 2023, respectively. The variance is attributable to changes in foreign currency rates related to our international operations.</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$4.6 million for the fifty-three weeks ended August 31, 2024, compared to the fifty-two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26, 2023. The increase in our income tax expense is primarily driven by higher income from operations and changes in permanent differences.</w:t>
      </w:r>
    </w:p>
    <w:p>
      <w:pPr>
        <w:spacing w:after="0" w:line="182"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was $139.3 million for the fifty-three weeks ended August 31, 2024, an increase of $5.7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$133.6 million for the fifty-two weeks ended August 26, 2023. Net income benefited from higher gross profit, including the benefit of the fifty-third week, higher interest income, and lower interest expense, and was partially offset by growth in marketing expenses, higher stock-based compensation expenses, business transaction costs related to the OWYN Acquisition, and higher income tax expense.</w:t>
      </w:r>
    </w:p>
    <w:p>
      <w:pPr>
        <w:spacing w:after="0" w:line="203"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$23.6 million, or 9.6%, for the fifty-three weeks ended August 31, 2024, compared to the fifty-two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August 26, 2023, driven primarily by higher gross profit, including contribution from the OWYN Acquisition, partially offset by investments in growth initiatives and higher advertising costs. For a reconciliation of Adjusted EBITDA to its most directly comparable GAAP measure, see “Reconciliation of EBITDA and Adjusted EBITDA”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executive transition costs, business transaction costs, inventory step-up, integration costs,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ectPr>
          <w:pgSz w:w="11900" w:h="16838" w:orient="portrait"/>
          <w:cols w:equalWidth="0" w:num="1">
            <w:col w:w="11240"/>
          </w:cols>
          <w:pgMar w:left="320" w:top="686"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41" w:name="page42"/>
    <w:bookmarkEnd w:id="41"/>
    <w:p>
      <w:pPr>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fifty-three weeks ended August 31, 2024, and fifty-two weeks ended August 26, 2023:</w:t>
      </w:r>
    </w:p>
    <w:p>
      <w:pPr>
        <w:sectPr>
          <w:pgSz w:w="11900" w:h="16838" w:orient="portrait"/>
          <w:cols w:equalWidth="0" w:num="1">
            <w:col w:w="11240"/>
          </w:cols>
          <w:pgMar w:left="320" w:top="688" w:right="339" w:bottom="1440" w:gutter="0" w:footer="0" w:header="0"/>
        </w:sectPr>
      </w:pP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4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r>
      <w:tr>
        <w:trPr>
          <w:trHeight w:val="27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w:t>
            </w:r>
          </w:p>
        </w:tc>
      </w:tr>
      <w:tr>
        <w:trPr>
          <w:trHeight w:val="27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26,029</w:t>
            </w:r>
          </w:p>
        </w:tc>
      </w:tr>
      <w:tr>
        <w:trPr>
          <w:trHeight w:val="27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46,741</w:t>
            </w:r>
          </w:p>
        </w:tc>
      </w:tr>
      <w:tr>
        <w:trPr>
          <w:trHeight w:val="27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20,993</w:t>
            </w:r>
          </w:p>
        </w:tc>
      </w:tr>
      <w:tr>
        <w:trPr>
          <w:trHeight w:val="24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228,765</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18,421</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14,524</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of OWYN</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7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6"/>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-2047875</wp:posOffset>
            </wp:positionV>
            <wp:extent cx="53492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-1704975</wp:posOffset>
            </wp:positionV>
            <wp:extent cx="53492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-1362075</wp:posOffset>
            </wp:positionV>
            <wp:extent cx="534924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-1019175</wp:posOffset>
            </wp:positionV>
            <wp:extent cx="534924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-676275</wp:posOffset>
            </wp:positionV>
            <wp:extent cx="534924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-333375</wp:posOffset>
            </wp:positionV>
            <wp:extent cx="534924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17145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-2390775</wp:posOffset>
            </wp:positionV>
            <wp:extent cx="534924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ind w:left="1580" w:hanging="150"/>
        <w:spacing w:after="0"/>
        <w:tabs>
          <w:tab w:leader="none" w:pos="158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-132715</wp:posOffset>
            </wp:positionV>
            <wp:extent cx="960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52-Weeks Ended</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August 26, 2023</w:t>
      </w:r>
    </w:p>
    <w:p>
      <w:pPr>
        <w:spacing w:after="0" w:line="113" w:lineRule="exact"/>
        <w:rPr>
          <w:sz w:val="20"/>
          <w:szCs w:val="20"/>
          <w:color w:val="auto"/>
        </w:rPr>
      </w:pPr>
    </w:p>
    <w:p>
      <w:pPr>
        <w:ind w:left="900" w:hanging="892"/>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133,575</w:t>
      </w:r>
    </w:p>
    <w:p>
      <w:pPr>
        <w:spacing w:after="0" w:line="8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(1,144)</w:t>
      </w:r>
    </w:p>
    <w:p>
      <w:pPr>
        <w:spacing w:after="0" w:line="86"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30,068</w:t>
      </w:r>
    </w:p>
    <w:p>
      <w:pPr>
        <w:spacing w:after="0" w:line="8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42,117</w:t>
      </w:r>
    </w:p>
    <w:p>
      <w:pPr>
        <w:spacing w:after="0" w:line="86"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968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224,869</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14,480</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3,390</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2,423</w:t>
      </w:r>
    </w:p>
    <w:p>
      <w:pPr>
        <w:spacing w:after="0" w:line="86"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968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9" w:lineRule="exact"/>
        <w:rPr>
          <w:sz w:val="20"/>
          <w:szCs w:val="20"/>
          <w:color w:val="auto"/>
        </w:rPr>
      </w:pPr>
    </w:p>
    <w:p>
      <w:pPr>
        <w:ind w:left="900" w:hanging="892"/>
        <w:spacing w:after="0"/>
        <w:tabs>
          <w:tab w:leader="none" w:pos="9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245,555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968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9683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8300" w:space="20"/>
            <w:col w:w="2920"/>
          </w:cols>
          <w:pgMar w:left="320" w:top="688" w:right="3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ind w:right="20" w:firstLine="196"/>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203"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8"/>
          <w:szCs w:val="18"/>
          <w:color w:val="auto"/>
        </w:rPr>
        <w:t>We had $132.5 million in cash as of August 31, 2024.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7, Long-Term Debt and Line of Credit, and Note 10, Leases, of the Consolidated Financial Statements included in Item 8 of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w:t>
      </w:r>
    </w:p>
    <w:p>
      <w:pPr>
        <w:spacing w:after="0" w:line="27" w:lineRule="exact"/>
        <w:rPr>
          <w:sz w:val="20"/>
          <w:szCs w:val="20"/>
          <w:color w:val="auto"/>
        </w:rPr>
      </w:pPr>
    </w:p>
    <w:p>
      <w:pPr>
        <w:jc w:val="both"/>
        <w:ind w:firstLine="8"/>
        <w:spacing w:after="0" w:line="253" w:lineRule="auto"/>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date of the 2024 Incremental Facility Amendment, the interest rate per annum for the Initial Term Loans is based on either:</w:t>
      </w:r>
    </w:p>
    <w:p>
      <w:pPr>
        <w:spacing w:after="0" w:line="117" w:lineRule="exact"/>
        <w:rPr>
          <w:sz w:val="20"/>
          <w:szCs w:val="20"/>
          <w:color w:val="auto"/>
        </w:rPr>
      </w:pPr>
    </w:p>
    <w:p>
      <w:pPr>
        <w:jc w:val="both"/>
        <w:ind w:left="660" w:hanging="328"/>
        <w:spacing w:after="0" w:line="266" w:lineRule="auto"/>
        <w:tabs>
          <w:tab w:leader="none" w:pos="6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2.50% plus (x) 1.50% margin for the Term Loan or (y) 2.00% margin for the Revolving Credit Facility;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ind w:left="660" w:right="20" w:hanging="328"/>
        <w:spacing w:after="0" w:line="282" w:lineRule="auto"/>
        <w:tabs>
          <w:tab w:leader="none" w:pos="6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2024 Incremental Facility Amendment, the Company expensed $3.4 million of non-deferrable third-party financing costs through </w:t>
      </w:r>
      <w:r>
        <w:rPr>
          <w:rFonts w:ascii="Times New Roman" w:cs="Times New Roman" w:eastAsia="Times New Roman" w:hAnsi="Times New Roman"/>
          <w:sz w:val="18"/>
          <w:szCs w:val="18"/>
          <w:i w:val="1"/>
          <w:iCs w:val="1"/>
          <w:color w:val="auto"/>
        </w:rPr>
        <w:t>Business transaction costs</w:t>
      </w:r>
      <w:r>
        <w:rPr>
          <w:rFonts w:ascii="Times New Roman" w:cs="Times New Roman" w:eastAsia="Times New Roman" w:hAnsi="Times New Roman"/>
          <w:sz w:val="18"/>
          <w:szCs w:val="18"/>
          <w:color w:val="auto"/>
        </w:rPr>
        <w:t xml:space="preserve"> and capitalized $1.2 million of third-party financing costs.</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31, 2024, and August 26, 2023, respectively.</w:t>
      </w:r>
    </w:p>
    <w:p>
      <w:pPr>
        <w:spacing w:after="0" w:line="216"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As of August 31, 2024, the outstanding balance of the Term Facility was $400.0 million. We are not required to make principal payments on the Term Facility over the twelve months following the period ended August 31, 2024. The outstanding balance of the Term Facility is due upon its maturity in March 2027. As of August 31, 2024,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OWYN 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totaling $250.0 million, and cash on hand. Business transaction costs within the Consolidated Statements of Income and Comprehensive Income for the fifty-three weeks ended August 31, 2024, were $14.5 million, which included $5.7 million of transaction advisory fees, $3.4 million of non-deferrable third-party financing costs incurred in connection with the 2024 Incremental Facility Amendment to the Credit Agreement, and $5.4 million of legal, due diligence, accounting, and other costs.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had approved the addition of $50.0 million to our stock repurchase program, resulting in authorized stock repurchases of up to an aggregate of $150.0 million. The Company did not repurchase any shares of common stock during the fifty-three weeks ended August 31, 2024. During the fifty-two weeks ended August 26, 2023, the Company repurchased 546,346 shares of common stock at an average share price of $30.11 per share. During the fifty-two weeks ended August 27, 2022, the Company repurchased 1,720,520 shares of common stock at an average share price of $34.79 per share.</w:t>
      </w:r>
    </w:p>
    <w:p>
      <w:pPr>
        <w:spacing w:after="0" w:line="210"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As of August 31, 2024, approximately $71.5 million remained available for repurchases under our $150.0 million stock repurchase program. Refer to Note 12, Stockholders’ Equity of the Consolidated Financial Statements included in Item 8 of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major sources and uses of cash for the fifty-three weeks ended August 31, 2024, and August 26, 2023. A discussion regarding the major sources and uses of cash for the fifty-two weeks ended August 27, 2022, can be found under Item 7 of our Annual Report on Form 10-K for the fiscal year ended August 26, 2023, filed with the SEC on October 24, 2023.</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215,704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171,117</w:t>
            </w:r>
          </w:p>
        </w:tc>
      </w:tr>
      <w:tr>
        <w:trPr>
          <w:trHeight w:val="26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579"/>
              <w:spacing w:after="0"/>
              <w:rPr>
                <w:sz w:val="20"/>
                <w:szCs w:val="20"/>
                <w:color w:val="auto"/>
              </w:rPr>
            </w:pPr>
            <w:r>
              <w:rPr>
                <w:rFonts w:ascii="Times New Roman" w:cs="Times New Roman" w:eastAsia="Times New Roman" w:hAnsi="Times New Roman"/>
                <w:sz w:val="16"/>
                <w:szCs w:val="16"/>
                <w:color w:val="auto"/>
              </w:rPr>
              <w:t>(286,882)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w:t>
            </w:r>
          </w:p>
        </w:tc>
      </w:tr>
      <w:tr>
        <w:trPr>
          <w:trHeight w:val="27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115,901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(138,532)</w:t>
            </w:r>
          </w:p>
        </w:tc>
      </w:tr>
    </w:tbl>
    <w:p>
      <w:pPr>
        <w:spacing w:after="0" w:line="317"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$44.6 million to $215.7 million for the fifty-three weeks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$171.1 million for the fifty-two weeks ended August 26, 2023. The increase in cash provided by operating activities was primarily attributable to changes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provided cash of $21.3 million in the fifty-three weeks ended August 31, 2024, compared to $21.2 million of cash consumed in the fifty-two weeks ended August 26, 2023, an improvement of $42.5 million. Income from operations increased by $1.5 million to $206.5 million for the fifty-three weeks ended August 31, 2024, as compared to $204.9 million for the fifty-two weeks ended August 26, 2023.</w:t>
      </w:r>
    </w:p>
    <w:p>
      <w:pPr>
        <w:spacing w:after="0" w:line="210" w:lineRule="exact"/>
        <w:rPr>
          <w:sz w:val="20"/>
          <w:szCs w:val="20"/>
          <w:color w:val="auto"/>
        </w:rPr>
      </w:pPr>
    </w:p>
    <w:p>
      <w:pPr>
        <w:jc w:val="both"/>
        <w:ind w:firstLine="23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net cash used in investing activities was $286.9 million for the fifty-three weeks ended August 31, 2024, compared to $12.2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fifty-two weeks ended August 26, 2023. The increase in cash used in investing activities was primarily due to the OWYN Acquisition of $280.4 million, net of cash acquired, as well as $5.7 million of purchases of property and equipment. The $12.2 million of net cash used in investing activities for the fifty-two weeks ended August 26, 2023, was primarily comprised of $11.6 million purchases of property and equipment.</w:t>
      </w:r>
    </w:p>
    <w:p>
      <w:pPr>
        <w:spacing w:after="0" w:line="207" w:lineRule="exact"/>
        <w:rPr>
          <w:sz w:val="20"/>
          <w:szCs w:val="20"/>
          <w:color w:val="auto"/>
        </w:rPr>
      </w:pPr>
    </w:p>
    <w:p>
      <w:pPr>
        <w:jc w:val="both"/>
        <w:ind w:firstLine="19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Our net cash provided by financing activities was $115.9 million for the fifty-three weeks ended August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by financing activities of $138.5 million for the fifty-two weeks ended August 26, 2023. Net cash provided by financing activities for the fifty-three weeks ended August 31, 2024, primarily consisted of $250.0 million of proceeds from the 2024 Incremental Facility Amendment in conjunction with the OWYN Acquisition, partially offset by $135.0 million in principal payments on the Term Facility. Net cash used in financing activities for the fifty-two weeks ended August 26, 2023, primarily consisted of $121.5 million in principal prepayments on the Term Facility and $16.4 million in repurchases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Judgments and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196"/>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U.S.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its financial condition and results of operations and that require significant, difficult, subjective or</w:t>
      </w:r>
    </w:p>
    <w:p>
      <w:pPr>
        <w:sectPr>
          <w:pgSz w:w="11900" w:h="16838" w:orient="portrait"/>
          <w:cols w:equalWidth="0" w:num="1">
            <w:col w:w="11240"/>
          </w:cols>
          <w:pgMar w:left="320" w:top="927"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complex judgments. Other companies in similar businesses may use different estimation policies and methodologies, which may affect the comparability of our financial condition, results of operations and cash flows to those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222"/>
        <w:spacing w:after="0" w:line="261" w:lineRule="auto"/>
        <w:rPr>
          <w:sz w:val="20"/>
          <w:szCs w:val="20"/>
          <w:color w:val="auto"/>
        </w:rPr>
      </w:pPr>
      <w:r>
        <w:rPr>
          <w:rFonts w:ascii="Times New Roman" w:cs="Times New Roman" w:eastAsia="Times New Roman" w:hAnsi="Times New Roman"/>
          <w:sz w:val="18"/>
          <w:szCs w:val="18"/>
          <w:color w:val="auto"/>
        </w:rPr>
        <w:t>We recognize revenue when performance obligations under the terms of a contract with our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207"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pacing w:after="0" w:line="215" w:lineRule="exact"/>
        <w:rPr>
          <w:sz w:val="20"/>
          <w:szCs w:val="20"/>
          <w:color w:val="auto"/>
        </w:rPr>
      </w:pPr>
    </w:p>
    <w:p>
      <w:pPr>
        <w:jc w:val="both"/>
        <w:ind w:firstLine="264"/>
        <w:spacing w:after="0" w:line="282" w:lineRule="auto"/>
        <w:rPr>
          <w:sz w:val="20"/>
          <w:szCs w:val="20"/>
          <w:color w:val="auto"/>
        </w:rPr>
      </w:pPr>
      <w:r>
        <w:rPr>
          <w:rFonts w:ascii="Times New Roman" w:cs="Times New Roman" w:eastAsia="Times New Roman" w:hAnsi="Times New Roman"/>
          <w:sz w:val="18"/>
          <w:szCs w:val="18"/>
          <w:color w:val="auto"/>
        </w:rPr>
        <w:t>Although some payment terms may be longer, the majority of our payment terms are less than 60 days. As a result, we do not have any material significant payments’ terms as payment is received shortly after the time of sale.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While our revenue recognition does not involve significant judgment, it represents a key accounting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Promotions</w:t>
      </w:r>
    </w:p>
    <w:p>
      <w:pPr>
        <w:spacing w:after="0" w:line="256" w:lineRule="exact"/>
        <w:rPr>
          <w:sz w:val="20"/>
          <w:szCs w:val="20"/>
          <w:color w:val="auto"/>
        </w:rPr>
      </w:pPr>
    </w:p>
    <w:p>
      <w:pPr>
        <w:jc w:val="both"/>
        <w:ind w:firstLine="277"/>
        <w:spacing w:after="0" w:line="256" w:lineRule="auto"/>
        <w:rPr>
          <w:sz w:val="20"/>
          <w:szCs w:val="20"/>
          <w:color w:val="auto"/>
        </w:rPr>
      </w:pPr>
      <w:r>
        <w:rPr>
          <w:rFonts w:ascii="Times New Roman" w:cs="Times New Roman" w:eastAsia="Times New Roman" w:hAnsi="Times New Roman"/>
          <w:sz w:val="18"/>
          <w:szCs w:val="18"/>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the performance of similar trade promotional activities, market data from IRI, and the Company’s best estimates of current activity. Our consolidated financial statements could be materially affected if the actual promotion rates are different from the estimated rates.</w:t>
      </w:r>
    </w:p>
    <w:p>
      <w:pPr>
        <w:spacing w:after="0" w:line="214" w:lineRule="exact"/>
        <w:rPr>
          <w:sz w:val="20"/>
          <w:szCs w:val="20"/>
          <w:color w:val="auto"/>
        </w:rPr>
      </w:pPr>
    </w:p>
    <w:p>
      <w:pPr>
        <w:jc w:val="both"/>
        <w:ind w:firstLine="176"/>
        <w:spacing w:after="0" w:line="266" w:lineRule="auto"/>
        <w:rPr>
          <w:sz w:val="20"/>
          <w:szCs w:val="20"/>
          <w:color w:val="auto"/>
        </w:rPr>
      </w:pPr>
      <w:r>
        <w:rPr>
          <w:rFonts w:ascii="Times New Roman" w:cs="Times New Roman" w:eastAsia="Times New Roman" w:hAnsi="Times New Roman"/>
          <w:sz w:val="18"/>
          <w:szCs w:val="18"/>
          <w:color w:val="auto"/>
        </w:rPr>
        <w:t>As of August 31, 2024, and August 26, 2023, the allowance for trade promotions was $36.3 million and $28.8 million, respectively. Differences between estimated expense and actual redemptions are recognized as a change in management estimate in a subsequent period. These differences have historically been insignificant.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13, 2024, we completed the OWYN Acquisition for a cash purchase price of approximately $280.0 million, subject to certain customary post-closing adjustments. The OWYN Acquisition was accounted for using the acquisition method of accounting prescribed by Accounting Standard Codification (“ASC”) Topic 805, Business Combinations (“ASC 805”), whereby the results of operations, including the revenues and earnings of OWYN,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Significant judgment is required to determine the fair value of certain tangible and intangible assets.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the acquisition date. We expect to complete the final fair value determination of the assets acquired and liabilities assumed as soon as practicable within the measurement period, but not to exceed one year from the acquisition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ind w:firstLine="211"/>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comprising our brands and trademarks, are not amortized, but instead are tested for impairment at least annually, or more frequently if indicators of impairment exist. We conduct our annual impairment tests at the beginning of</w:t>
      </w:r>
    </w:p>
    <w:p>
      <w:pPr>
        <w:sectPr>
          <w:pgSz w:w="11900" w:h="16838" w:orient="portrait"/>
          <w:cols w:equalWidth="0" w:num="1">
            <w:col w:w="11240"/>
          </w:cols>
          <w:pgMar w:left="320" w:top="688"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the fourth fiscal quarter. We perform our goodwill impairment assessment for each reporting unit that has goodwill. The process of evaluating goodwill and indefinite-lived intangibles for impairment is subjective and requires significant judgment at many points during the analysis.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fifty-three weeks ended August 31, 2024, following the OWYN Acquisition, we determined our operations are organized into two operating segments, Quest and Atkins, and OWYN,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Previously, during the fifty-two weeks ended August 26, 2023, and August 27, 2022, we determined our operations were organized into one, consolidated operating segment and reportable segment.</w:t>
      </w:r>
    </w:p>
    <w:p>
      <w:pPr>
        <w:spacing w:after="0" w:line="81" w:lineRule="exact"/>
        <w:rPr>
          <w:sz w:val="20"/>
          <w:szCs w:val="20"/>
          <w:color w:val="auto"/>
        </w:rPr>
      </w:pPr>
    </w:p>
    <w:p>
      <w:pPr>
        <w:jc w:val="both"/>
        <w:ind w:firstLine="213"/>
        <w:spacing w:after="0" w:line="253" w:lineRule="auto"/>
        <w:rPr>
          <w:sz w:val="20"/>
          <w:szCs w:val="20"/>
          <w:color w:val="auto"/>
        </w:rPr>
      </w:pPr>
      <w:r>
        <w:rPr>
          <w:rFonts w:ascii="Times New Roman" w:cs="Times New Roman" w:eastAsia="Times New Roman" w:hAnsi="Times New Roman"/>
          <w:sz w:val="18"/>
          <w:szCs w:val="18"/>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Impairment is indicated if the estimated fair value of the reporting unit or indefinite-lived intangible asset is less than the carrying amount, and an impairment charge is recognized for the differential.</w:t>
      </w:r>
    </w:p>
    <w:p>
      <w:pPr>
        <w:spacing w:after="0" w:line="221"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During fiscal year 2024, we performed a qualitative assessment in the fiscal third quarter that indicated potential indicators of impairment for the Atkins brand indefinite lived intangible asset. However, based on our quantitative assessment, the asset had an excess fair value well over its respective carrying value, resulting in no impairment. As of the date of our annual impairment assessment, which is the first day of the fourth fiscal quarter, in fiscal years 2024, 2023 and 2022, we performed qualitative assessments of goodwill and indefinite-lived intangible assets. The qualitative assessments did not identify indicators of impairment, and it was determined that it was more likely than not each reporting unit and indefinite-lived intangible had fair values in excess of their carrying values. Accordingly, no further impairment assessment was necessary, and no impairment charges related to goodwill or indefinite-lived intangibles were recognized in the fifty-three weeks ended August 31, 2024, or the fifty-two weeks ended August 26, 2023, or August 27, 2022. Additionally, we determined there was not a material risk of impairments as of the date of the most recent assessment.</w:t>
      </w:r>
    </w:p>
    <w:p>
      <w:pPr>
        <w:spacing w:after="0" w:line="21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 circumstances indicated that the carrying amount may not be recoverable. For the fifty-three weeks ended August 31, 2024, and the fifty-two weeks ended August 26, 2023, and August 27, 2022, we did not identify indicators of impairment related to our finite-lived intangible assets, and as such there were no impairments recorded related to finite-lived intangible assets. We also determined that there was no material risk of intangible impairments related to our finite-lived intangible assets as of the date of the most recent assessments.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204"/>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89" w:lineRule="exact"/>
        <w:rPr>
          <w:sz w:val="20"/>
          <w:szCs w:val="20"/>
          <w:color w:val="auto"/>
        </w:rPr>
      </w:pPr>
    </w:p>
    <w:p>
      <w:pPr>
        <w:jc w:val="both"/>
        <w:ind w:firstLine="281"/>
        <w:spacing w:after="0" w:line="256"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56" w:lineRule="exact"/>
        <w:rPr>
          <w:sz w:val="20"/>
          <w:szCs w:val="20"/>
          <w:color w:val="auto"/>
        </w:rPr>
      </w:pPr>
    </w:p>
    <w:p>
      <w:pPr>
        <w:jc w:val="both"/>
        <w:ind w:firstLine="264"/>
        <w:spacing w:after="0" w:line="258" w:lineRule="auto"/>
        <w:rPr>
          <w:sz w:val="20"/>
          <w:szCs w:val="20"/>
          <w:color w:val="auto"/>
        </w:rPr>
      </w:pPr>
      <w:r>
        <w:rPr>
          <w:rFonts w:ascii="Times New Roman" w:cs="Times New Roman" w:eastAsia="Times New Roman" w:hAnsi="Times New Roman"/>
          <w:sz w:val="18"/>
          <w:szCs w:val="18"/>
          <w:color w:val="auto"/>
        </w:rPr>
        <w:t>During the fifty-two weeks ended August 27, 2022, we had outstanding Private Warrants that allowed holders to purchase 6,700,000 shares of our common stock. Such Private Warrants were held by Conyers Park Sponsor, LLC (“Conyers Park”), a related party. Each whole warrant entitled the holder to purchase one share of our common stock at a price of $11.50 per share. On January 7, 2022, Conyers Park elected to exercise the Private Warrants in full on a cashless basis, resulting in a net issuance of 4,830,761 shares of our common stock. As a result of the cashless exercise on January 7, 2022, there were no outstanding Private Warrants as of August 31, 2024, or August 26, 2023.</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7" w:name="page48"/>
    <w:bookmarkEnd w:id="47"/>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During the reporting periods the Private Warrants were outstanding, we accounted for our Private Warrants as a derivative warrant liability in accordance with ASC Topic 815-40, Derivatives and Hedging: Contracts in Entity’s Own Equity. Accordingly, we recognized the Private Warrants as a liability at fair value and adjusted the Private Warrants to fair value at each reporting period through other income. We utilized the Black-Scholes option-pricing valuation model (“Black-Scholes model”) to estimate the fair value of the Private Warrants at each reporting date.</w:t>
      </w:r>
    </w:p>
    <w:p>
      <w:pPr>
        <w:spacing w:after="0" w:line="207" w:lineRule="exact"/>
        <w:rPr>
          <w:sz w:val="20"/>
          <w:szCs w:val="20"/>
          <w:color w:val="auto"/>
        </w:rPr>
      </w:pPr>
    </w:p>
    <w:p>
      <w:pPr>
        <w:jc w:val="both"/>
        <w:ind w:firstLine="333"/>
        <w:spacing w:after="0" w:line="254" w:lineRule="auto"/>
        <w:rPr>
          <w:sz w:val="20"/>
          <w:szCs w:val="20"/>
          <w:color w:val="auto"/>
        </w:rPr>
      </w:pPr>
      <w:r>
        <w:rPr>
          <w:rFonts w:ascii="Times New Roman" w:cs="Times New Roman" w:eastAsia="Times New Roman" w:hAnsi="Times New Roman"/>
          <w:sz w:val="18"/>
          <w:szCs w:val="18"/>
          <w:color w:val="auto"/>
        </w:rPr>
        <w:t>The application of the Black-Scholes model utilizes significant assumptions, including expected volatility, the determination of which requires significant judgment. In order to determine the most accurate measure of this volatility, we measured expected volatility based on several inputs, including considering a peer group of publicly traded companies, Simply Good Foods’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 The expected volatility was historically a key assumption or input to the valuation of the Private Warrants, however changes in the expected volatility assumption had less of an effect on the Black-Scholes model valuation as the Private Warrants approached their expiration.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184"/>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Consolidated Financial Statements included in Item 8 of this Report for information regarding recently issued accounting standards.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firstLine="203"/>
        <w:spacing w:after="0" w:line="282"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85"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costs and inflation. </w:t>
      </w:r>
      <w:r>
        <w:rPr>
          <w:rFonts w:ascii="Times New Roman" w:cs="Times New Roman" w:eastAsia="Times New Roman" w:hAnsi="Times New Roman"/>
          <w:sz w:val="18"/>
          <w:szCs w:val="18"/>
          <w:color w:val="auto"/>
        </w:rPr>
        <w:t>We are exposed to risks associated with changes in the costs of our raw materials as well as changes to our supply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costs. While inflation may affect our revenue and cost of products, we believe the effects of inflation on our results of operations and financial condition have not been significant during the fifty-three weeks ended August 31, 2024, as compared to prior fiscal periods. While the Company is monitoring key ingredient inflation, which may affect profitability, we believe the Company's strategy and positioning will continue to drive profitable growth for our product offerings and growth within the growing nutritional snacking category. However, there can be no assurance that results of operations and financial condition will not be materially impacted by inflation in the future. Refer to Item 1A, Risk Factors, for additional discussion of our risks associated with the costs of our raw materials, our supply chain, and inflation.</w:t>
      </w:r>
    </w:p>
    <w:p>
      <w:pPr>
        <w:spacing w:after="0" w:line="210"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interest rate risk in connection with borrowing based on a variable interest rate. Derivative financial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interest rate swap agreements and interest rate cap agreements, while not currently used,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 of August 31, 2024, the outstanding balance of the Term Facility was $400.0 million. Based on the amount outstanding of the Term Facility at the end of fiscal year 2024, a 1% increase in interest rates would increase our annual interest expense by approximately $4.0 million.</w:t>
      </w:r>
    </w:p>
    <w:p>
      <w:pPr>
        <w:spacing w:after="0" w:line="209"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risk. </w:t>
      </w:r>
      <w:r>
        <w:rPr>
          <w:rFonts w:ascii="Times New Roman" w:cs="Times New Roman" w:eastAsia="Times New Roman" w:hAnsi="Times New Roman"/>
          <w:sz w:val="18"/>
          <w:szCs w:val="18"/>
          <w:color w:val="auto"/>
        </w:rPr>
        <w:t>We are exposed to changes in currency rates as a result of investments in foreign operations and revenue generated in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and Australia.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63"/>
        </w:trPr>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gridSpan w:val="9"/>
          </w:tcPr>
          <w:p>
            <w:pPr>
              <w:jc w:val="center"/>
              <w:ind w:right="2600"/>
              <w:spacing w:after="0"/>
              <w:rPr>
                <w:sz w:val="20"/>
                <w:szCs w:val="20"/>
                <w:color w:val="auto"/>
              </w:rPr>
            </w:pPr>
            <w:r>
              <w:rPr>
                <w:rFonts w:ascii="Times New Roman" w:cs="Times New Roman" w:eastAsia="Times New Roman" w:hAnsi="Times New Roman"/>
                <w:sz w:val="16"/>
                <w:szCs w:val="16"/>
                <w:color w:val="0000FF"/>
                <w:w w:val="98"/>
              </w:rPr>
              <w:t>Index to the Financial Statements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3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50</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Consolidated Balance Sheets</w:t>
            </w:r>
          </w:p>
        </w:tc>
        <w:tc>
          <w:tcPr>
            <w:tcW w:w="1920" w:type="dxa"/>
            <w:vAlign w:val="bottom"/>
            <w:gridSpan w:val="7"/>
          </w:tcPr>
          <w:p>
            <w:pPr>
              <w:spacing w:after="0"/>
              <w:rPr>
                <w:sz w:val="20"/>
                <w:szCs w:val="20"/>
                <w:color w:val="auto"/>
              </w:rPr>
            </w:pPr>
          </w:p>
        </w:tc>
        <w:tc>
          <w:tcPr>
            <w:tcW w:w="3160" w:type="dxa"/>
            <w:vAlign w:val="bottom"/>
            <w:gridSpan w:val="4"/>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52</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Income and Comprehensive Income</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53</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580" w:type="dxa"/>
            <w:vAlign w:val="bottom"/>
            <w:gridSpan w:val="5"/>
          </w:tcPr>
          <w:p>
            <w:pPr>
              <w:spacing w:after="0"/>
              <w:rPr>
                <w:sz w:val="21"/>
                <w:szCs w:val="21"/>
                <w:color w:val="auto"/>
              </w:rPr>
            </w:pPr>
          </w:p>
        </w:tc>
        <w:tc>
          <w:tcPr>
            <w:tcW w:w="280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54</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56</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11"/>
          </w:tcPr>
          <w:p>
            <w:pPr>
              <w:jc w:val="center"/>
              <w:ind w:right="2260"/>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18"/>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Note 1.</w:t>
            </w:r>
          </w:p>
        </w:tc>
        <w:tc>
          <w:tcPr>
            <w:tcW w:w="420" w:type="dxa"/>
            <w:vAlign w:val="bottom"/>
          </w:tcPr>
          <w:p>
            <w:pPr>
              <w:spacing w:after="0"/>
              <w:rPr>
                <w:sz w:val="24"/>
                <w:szCs w:val="24"/>
                <w:color w:val="auto"/>
              </w:rPr>
            </w:pP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Nature of Operations and Principles of Consolidation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57</w:t>
            </w:r>
          </w:p>
        </w:tc>
      </w:tr>
      <w:tr>
        <w:trPr>
          <w:trHeight w:val="236"/>
        </w:trPr>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3"/>
              </w:rPr>
              <w:t>Note 2.</w:t>
            </w:r>
          </w:p>
        </w:tc>
        <w:tc>
          <w:tcPr>
            <w:tcW w:w="8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3520" w:type="dxa"/>
            <w:vAlign w:val="bottom"/>
            <w:gridSpan w:val="5"/>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57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3.</w:t>
            </w:r>
          </w:p>
        </w:tc>
        <w:tc>
          <w:tcPr>
            <w:tcW w:w="500" w:type="dxa"/>
            <w:vAlign w:val="bottom"/>
            <w:gridSpan w:val="2"/>
          </w:tcPr>
          <w:p>
            <w:pPr>
              <w:spacing w:after="0"/>
              <w:rPr>
                <w:sz w:val="20"/>
                <w:szCs w:val="20"/>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Business Combination</w:t>
            </w:r>
          </w:p>
        </w:tc>
        <w:tc>
          <w:tcPr>
            <w:tcW w:w="1440" w:type="dxa"/>
            <w:vAlign w:val="bottom"/>
            <w:gridSpan w:val="7"/>
          </w:tcPr>
          <w:p>
            <w:pPr>
              <w:spacing w:after="0"/>
              <w:rPr>
                <w:sz w:val="20"/>
                <w:szCs w:val="20"/>
                <w:color w:val="auto"/>
              </w:rPr>
            </w:pPr>
          </w:p>
        </w:tc>
        <w:tc>
          <w:tcPr>
            <w:tcW w:w="406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63</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4.</w:t>
            </w:r>
          </w:p>
        </w:tc>
        <w:tc>
          <w:tcPr>
            <w:tcW w:w="500" w:type="dxa"/>
            <w:vAlign w:val="bottom"/>
            <w:gridSpan w:val="2"/>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Property and Equipment, Net</w:t>
            </w:r>
          </w:p>
        </w:tc>
        <w:tc>
          <w:tcPr>
            <w:tcW w:w="508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5.</w:t>
            </w:r>
          </w:p>
        </w:tc>
        <w:tc>
          <w:tcPr>
            <w:tcW w:w="500" w:type="dxa"/>
            <w:vAlign w:val="bottom"/>
            <w:gridSpan w:val="2"/>
          </w:tcPr>
          <w:p>
            <w:pPr>
              <w:spacing w:after="0"/>
              <w:rPr>
                <w:sz w:val="20"/>
                <w:szCs w:val="20"/>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Goodwill and Intangibles</w:t>
            </w:r>
          </w:p>
        </w:tc>
        <w:tc>
          <w:tcPr>
            <w:tcW w:w="508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3"/>
              </w:rPr>
              <w:t>Note 6.</w:t>
            </w:r>
          </w:p>
        </w:tc>
        <w:tc>
          <w:tcPr>
            <w:tcW w:w="80" w:type="dxa"/>
            <w:vAlign w:val="bottom"/>
            <w:tcBorders>
              <w:bottom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Accrued Expenses and Other Current Liabilities</w:t>
            </w:r>
          </w:p>
        </w:tc>
        <w:tc>
          <w:tcPr>
            <w:tcW w:w="3780" w:type="dxa"/>
            <w:vAlign w:val="bottom"/>
            <w:gridSpan w:val="6"/>
          </w:tcPr>
          <w:p>
            <w:pPr>
              <w:spacing w:after="0"/>
              <w:rPr>
                <w:sz w:val="20"/>
                <w:szCs w:val="20"/>
                <w:color w:val="auto"/>
              </w:rPr>
            </w:pP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67</w:t>
            </w: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7.</w:t>
            </w:r>
          </w:p>
        </w:tc>
        <w:tc>
          <w:tcPr>
            <w:tcW w:w="500" w:type="dxa"/>
            <w:vAlign w:val="bottom"/>
            <w:gridSpan w:val="2"/>
          </w:tcPr>
          <w:p>
            <w:pPr>
              <w:spacing w:after="0"/>
              <w:rPr>
                <w:sz w:val="20"/>
                <w:szCs w:val="20"/>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6"/>
              </w:rPr>
              <w:t>Long-Term Debt and Line of Credit</w:t>
            </w: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8.</w:t>
            </w:r>
          </w:p>
        </w:tc>
        <w:tc>
          <w:tcPr>
            <w:tcW w:w="500" w:type="dxa"/>
            <w:vAlign w:val="bottom"/>
            <w:gridSpan w:val="2"/>
          </w:tcPr>
          <w:p>
            <w:pPr>
              <w:spacing w:after="0"/>
              <w:rPr>
                <w:sz w:val="20"/>
                <w:szCs w:val="20"/>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7"/>
              </w:rPr>
              <w:t>Fair Value of Financial Instruments</w:t>
            </w: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69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0000FF"/>
                <w:w w:val="93"/>
              </w:rPr>
              <w:t>Note 9.</w:t>
            </w:r>
          </w:p>
        </w:tc>
        <w:tc>
          <w:tcPr>
            <w:tcW w:w="500" w:type="dxa"/>
            <w:vAlign w:val="bottom"/>
            <w:gridSpan w:val="2"/>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Income Taxes</w:t>
            </w:r>
          </w:p>
        </w:tc>
        <w:tc>
          <w:tcPr>
            <w:tcW w:w="1360" w:type="dxa"/>
            <w:vAlign w:val="bottom"/>
            <w:gridSpan w:val="8"/>
          </w:tcPr>
          <w:p>
            <w:pPr>
              <w:spacing w:after="0"/>
              <w:rPr>
                <w:sz w:val="20"/>
                <w:szCs w:val="20"/>
                <w:color w:val="auto"/>
              </w:rPr>
            </w:pPr>
          </w:p>
        </w:tc>
        <w:tc>
          <w:tcPr>
            <w:tcW w:w="4700" w:type="dxa"/>
            <w:vAlign w:val="bottom"/>
            <w:gridSpan w:val="9"/>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99"/>
              </w:rPr>
              <w:t>70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10.</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Leases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73</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11.</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12.</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Stockholder’s Equity</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13.</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14.</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Omnibus Incentive Plan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15.</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Segment and Customer Information</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Borders>
              <w:right w:val="single" w:sz="8" w:color="0000FF"/>
            </w:tcBorders>
            <w:gridSpan w:val="10"/>
            <w:shd w:val="clear" w:color="auto" w:fill="0000FF"/>
          </w:tcPr>
          <w:p>
            <w:pPr>
              <w:spacing w:after="0" w:line="20" w:lineRule="exact"/>
              <w:rPr>
                <w:sz w:val="1"/>
                <w:szCs w:val="1"/>
                <w:color w:val="auto"/>
              </w:rPr>
            </w:pPr>
          </w:p>
        </w:tc>
        <w:tc>
          <w:tcPr>
            <w:tcW w:w="4700" w:type="dxa"/>
            <w:vAlign w:val="bottom"/>
            <w:tcBorders>
              <w:left w:val="single" w:sz="8" w:color="0000FF"/>
            </w:tcBorders>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Note 16.</w:t>
            </w:r>
          </w:p>
        </w:tc>
        <w:tc>
          <w:tcPr>
            <w:tcW w:w="69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Restructuring and Related Charges</w:t>
            </w:r>
          </w:p>
        </w:tc>
        <w:tc>
          <w:tcPr>
            <w:tcW w:w="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80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Simply Good Foods Company and subsidiaries (the "Company") as of August 31, 2024, and August 26, 2023, the related consolidated statements of income, comprehensive income, stockholders' equity, and cash flows, for the fifty-three weeks ended August 31, 2024, the fifty-two weeks ended August 26, 2023, and August 27, 2022, and the related notes (collectively referred to as the "financial statements"). In our opinion, the financial statements present fairly, in all material respects, the financial position of the Company as of August 31, 2024, and August 26, 2023, and the results of its operations and its cash flows for each of the three years in the period ended August 31, 2024,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August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October 29, 2024,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Trade Promotions — Refer to Note 2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 These estimates are made using various information including historical data on performance of similar trade promotional activities, and the Company's best estimates of current activity.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allowance for trade promotions related to manufacturer charge-backs as a critical audit matter because management’s estimate of the expected future promotional claims is subjective and requires a high degree of judgment. Auditing management’s assumptions and judgments used in determining the allowance for trade promotions related to manufacturer charge-backs as of August 31, 2024, required a high degree of auditor judgment and an increased extent of effort.</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over the allowance for trade promotions related to manufacturer charge-backs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internal controls over the allowance for trade promotions.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allowances for trade promotions recorded as of August 31, 2024, we: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contract terms directly with the customer.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contract terms from the accounting records to the promotion agreement with the customer and verified the promotion period was prior to September 1, 2024.</w:t>
      </w:r>
    </w:p>
    <w:p>
      <w:pPr>
        <w:ind w:left="1300" w:right="20" w:hanging="320"/>
        <w:spacing w:after="0" w:line="250" w:lineRule="auto"/>
        <w:tabs>
          <w:tab w:leader="none" w:pos="13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appropriateness of the year-end trade accrual estimate using historical data on performance of similar trade promotional activities and subsequent customer activity.</w:t>
      </w:r>
    </w:p>
    <w:p>
      <w:pPr>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unresolved as of August 31, 2024, we compared that amount to the August 31, 2024, allowance for promotions balance and traced the resolved deduction to an approved trade promotion.</w:t>
      </w:r>
    </w:p>
    <w:p>
      <w:pPr>
        <w:ind w:left="6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customer promotional claims resolved after August 31, 2024, we compared that amount to the August 31, 2024, allowance for promotions balance and traced the resolved deduction to an approved trade promotion.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 Only What You Need, Inc. - Valuation of Brand Intangible Asset - Refer to Note 3 to the consolidated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completed the acquisition of Only What You Need, Inc. (“OWYN”) for approximately $280 million on June 13, 2024. The Company accounted for the acquisition under the acquisition method of accounting for business combinations. Accordingly, the purchase price was allocated to the assets acquired and liabilities assumed based on their respective fair values, including the indefinite lived brand intangible asset of $223 million. The fair value of the indefinite lived brand intangible asset was estimated using the multi-period excess earnings method of the income approach, wherein the net earnings attributable to the asset are isolated from “contributory” assets in order to estimate the cash flows solely attributable to the asset over its remaining economic life.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fair value determination of the indefinite lived brand intangible asset for Only What You Need, Inc. requires management to make significant estimates and assumptions related to the selection of the long-term growth rate and discount rate, performing audit procedures to evaluate the reasonableness of these estimates and assumptions required a high degree of auditor judgement and an increased extent of effort, including the need to involve our fair value specialists.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auditing procedures related to the selection of long-term growth rate and discount rate included the following, among others:</w:t>
      </w:r>
    </w:p>
    <w:p>
      <w:pPr>
        <w:spacing w:after="0" w:line="252" w:lineRule="exact"/>
        <w:rPr>
          <w:sz w:val="20"/>
          <w:szCs w:val="20"/>
          <w:color w:val="auto"/>
        </w:rPr>
      </w:pPr>
    </w:p>
    <w:p>
      <w:pPr>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internal controls related to the Company’s assumptions related to the selection of the long-term growth rate and discount rate.</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management’s key assumptions in developing the long-term growth rate and discount 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methodologies and the selection of the long-term growth rate and discount rate by:</w:t>
      </w:r>
    </w:p>
    <w:p>
      <w:pPr>
        <w:ind w:left="1300" w:right="20" w:hanging="320"/>
        <w:spacing w:after="0" w:line="250" w:lineRule="auto"/>
        <w:tabs>
          <w:tab w:leader="none" w:pos="12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long-term growth rate and comparing the significant assumptions used by management to current industry and economic trends.</w:t>
      </w: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testing the mathematical accuracy of the calculation.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7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2024</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0" w:type="dxa"/>
            <w:vAlign w:val="bottom"/>
          </w:tcPr>
          <w:p>
            <w:pPr>
              <w:spacing w:after="0"/>
              <w:rPr>
                <w:sz w:val="1"/>
                <w:szCs w:val="1"/>
                <w:color w:val="auto"/>
              </w:rPr>
            </w:pPr>
          </w:p>
        </w:tc>
      </w:tr>
      <w:tr>
        <w:trPr>
          <w:trHeight w:val="239"/>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371,652</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40"/>
        </w:trPr>
        <w:tc>
          <w:tcPr>
            <w:tcW w:w="68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89,857</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116,133</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38,346</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11)</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102,515,315 and 101,929,868</w:t>
            </w:r>
          </w:p>
        </w:tc>
        <w:tc>
          <w:tcPr>
            <w:tcW w:w="16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issued at August 31, 2024 and August 26, 2023, respectively</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August 31, 2024 and August 26,</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60"/>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2024</w:t>
            </w: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1,242,672</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1,168,678</w:t>
            </w:r>
          </w:p>
        </w:tc>
      </w:tr>
      <w:tr>
        <w:trPr>
          <w:trHeight w:val="25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819,755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789,252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723,117</w:t>
            </w:r>
          </w:p>
        </w:tc>
      </w:tr>
      <w:tr>
        <w:trPr>
          <w:trHeight w:val="23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445,561</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121,685</w:t>
            </w: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103,832</w:t>
            </w:r>
          </w:p>
        </w:tc>
      </w:tr>
      <w:tr>
        <w:trPr>
          <w:trHeight w:val="254"/>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17,285</w:t>
            </w:r>
          </w:p>
        </w:tc>
      </w:tr>
      <w:tr>
        <w:trPr>
          <w:trHeight w:val="25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248,471</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242,802</w:t>
            </w:r>
          </w:p>
        </w:tc>
      </w:tr>
      <w:tr>
        <w:trPr>
          <w:trHeight w:val="259"/>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204,949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202,759</w:t>
            </w:r>
          </w:p>
        </w:tc>
      </w:tr>
      <w:tr>
        <w:trPr>
          <w:trHeight w:val="259"/>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(21,881)</w:t>
            </w: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w:t>
            </w: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57"/>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(52,190)</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175,692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150,569</w:t>
            </w:r>
          </w:p>
        </w:tc>
      </w:tr>
      <w:tr>
        <w:trPr>
          <w:trHeight w:val="25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42,117</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41,995</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133,575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108,574</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132,933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107,441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53"/>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6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99,929,196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99,442,046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98,754,913</w:t>
            </w:r>
          </w:p>
        </w:tc>
      </w:tr>
      <w:tr>
        <w:trPr>
          <w:trHeight w:val="25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101,281,888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100,880,079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100,589,156</w:t>
            </w: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2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52-Weeks Ended</w:t>
            </w:r>
          </w:p>
        </w:tc>
        <w:tc>
          <w:tcPr>
            <w:tcW w:w="16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19"/>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26, 2023</w:t>
            </w:r>
          </w:p>
        </w:tc>
        <w:tc>
          <w:tcPr>
            <w:tcW w:w="16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19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108,574</w:t>
            </w:r>
          </w:p>
        </w:tc>
      </w:tr>
      <w:tr>
        <w:trPr>
          <w:trHeight w:val="165"/>
        </w:trPr>
        <w:tc>
          <w:tcPr>
            <w:tcW w:w="5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19,299</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30,062</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Estimated credit (recoveries) losses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11,789</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(21,796)</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r>
      <w:tr>
        <w:trPr>
          <w:trHeight w:val="213"/>
        </w:trPr>
        <w:tc>
          <w:tcPr>
            <w:tcW w:w="5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w:t>
            </w:r>
          </w:p>
        </w:tc>
      </w:tr>
      <w:tr>
        <w:trPr>
          <w:trHeight w:val="213"/>
        </w:trPr>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110,639</w:t>
            </w: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Investments in intangible assets and other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r>
      <w:tr>
        <w:trPr>
          <w:trHeight w:val="23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(59,858)</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(110,032)</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75,345</w:t>
            </w: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67,494</w:t>
            </w:r>
          </w:p>
        </w:tc>
      </w:tr>
    </w:tbl>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260"/>
        </w:trPr>
        <w:tc>
          <w:tcPr>
            <w:tcW w:w="5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31, 2024</w:t>
            </w: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23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25,511</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19,222</w:t>
            </w:r>
          </w:p>
        </w:tc>
        <w:tc>
          <w:tcPr>
            <w:tcW w:w="0" w:type="dxa"/>
            <w:vAlign w:val="bottom"/>
          </w:tcPr>
          <w:p>
            <w:pPr>
              <w:spacing w:after="0"/>
              <w:rPr>
                <w:sz w:val="1"/>
                <w:szCs w:val="1"/>
                <w:color w:val="auto"/>
              </w:rPr>
            </w:pPr>
          </w:p>
        </w:tc>
      </w:tr>
      <w:tr>
        <w:trPr>
          <w:trHeight w:val="25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49,181</w:t>
            </w:r>
          </w:p>
        </w:tc>
        <w:tc>
          <w:tcPr>
            <w:tcW w:w="0" w:type="dxa"/>
            <w:vAlign w:val="bottom"/>
          </w:tcPr>
          <w:p>
            <w:pPr>
              <w:spacing w:after="0"/>
              <w:rPr>
                <w:sz w:val="1"/>
                <w:szCs w:val="1"/>
                <w:color w:val="auto"/>
              </w:rPr>
            </w:pPr>
          </w:p>
        </w:tc>
      </w:tr>
      <w:tr>
        <w:trPr>
          <w:trHeight w:val="25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 and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7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extinguishment of warrant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189,897</w:t>
            </w: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Operating lease right-of-use assets recognized in exchange for lease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397"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1740" w:type="dxa"/>
            <w:vAlign w:val="bottom"/>
          </w:tcPr>
          <w:p>
            <w:pPr>
              <w:spacing w:after="0"/>
              <w:rPr>
                <w:sz w:val="20"/>
                <w:szCs w:val="20"/>
                <w:color w:val="auto"/>
              </w:rPr>
            </w:pP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5"/>
                <w:szCs w:val="15"/>
                <w:color w:val="auto"/>
              </w:rPr>
              <w:t>Common Stock</w:t>
            </w:r>
          </w:p>
        </w:tc>
        <w:tc>
          <w:tcPr>
            <w:tcW w:w="174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Treasury Stock</w:t>
            </w:r>
          </w:p>
        </w:tc>
        <w:tc>
          <w:tcPr>
            <w:tcW w:w="140" w:type="dxa"/>
            <w:vAlign w:val="bottom"/>
          </w:tcPr>
          <w:p>
            <w:pPr>
              <w:spacing w:after="0"/>
              <w:rPr>
                <w:sz w:val="20"/>
                <w:szCs w:val="2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Additional</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Retained Earnings</w:t>
            </w: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Accumulated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5"/>
                <w:szCs w:val="15"/>
                <w:color w:val="auto"/>
              </w:rPr>
              <w:t>(Accumulated</w:t>
            </w:r>
          </w:p>
        </w:tc>
        <w:tc>
          <w:tcPr>
            <w:tcW w:w="100" w:type="dxa"/>
            <w:vAlign w:val="bottom"/>
          </w:tcPr>
          <w:p>
            <w:pPr>
              <w:spacing w:after="0"/>
              <w:rPr>
                <w:sz w:val="5"/>
                <w:szCs w:val="5"/>
                <w:color w:val="auto"/>
              </w:rPr>
            </w:pPr>
          </w:p>
        </w:tc>
        <w:tc>
          <w:tcPr>
            <w:tcW w:w="1240" w:type="dxa"/>
            <w:vAlign w:val="bottom"/>
            <w:gridSpan w:val="2"/>
          </w:tcPr>
          <w:p>
            <w:pPr>
              <w:jc w:val="center"/>
              <w:ind w:right="240"/>
              <w:spacing w:after="0" w:line="68" w:lineRule="exact"/>
              <w:rPr>
                <w:sz w:val="20"/>
                <w:szCs w:val="20"/>
                <w:color w:val="auto"/>
              </w:rPr>
            </w:pPr>
            <w:r>
              <w:rPr>
                <w:rFonts w:ascii="Times New Roman" w:cs="Times New Roman" w:eastAsia="Times New Roman" w:hAnsi="Times New Roman"/>
                <w:sz w:val="7"/>
                <w:szCs w:val="7"/>
                <w:color w:val="auto"/>
              </w:rPr>
              <w:t>Other</w:t>
            </w:r>
          </w:p>
        </w:tc>
        <w:tc>
          <w:tcPr>
            <w:tcW w:w="180" w:type="dxa"/>
            <w:vAlign w:val="bottom"/>
          </w:tcPr>
          <w:p>
            <w:pPr>
              <w:spacing w:after="0"/>
              <w:rPr>
                <w:sz w:val="5"/>
                <w:szCs w:val="5"/>
                <w:color w:val="auto"/>
              </w:rPr>
            </w:pPr>
          </w:p>
        </w:tc>
        <w:tc>
          <w:tcPr>
            <w:tcW w:w="760" w:type="dxa"/>
            <w:vAlign w:val="bottom"/>
            <w:vMerge w:val="restart"/>
          </w:tcPr>
          <w:p>
            <w:pPr>
              <w:jc w:val="right"/>
              <w:ind w:right="244"/>
              <w:spacing w:after="0" w:line="149"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40"/>
        </w:trPr>
        <w:tc>
          <w:tcPr>
            <w:tcW w:w="17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restart"/>
          </w:tcPr>
          <w:p>
            <w:pPr>
              <w:jc w:val="right"/>
              <w:ind w:right="160"/>
              <w:spacing w:after="0" w:line="159" w:lineRule="exact"/>
              <w:rPr>
                <w:sz w:val="20"/>
                <w:szCs w:val="20"/>
                <w:color w:val="auto"/>
              </w:rPr>
            </w:pPr>
            <w:r>
              <w:rPr>
                <w:rFonts w:ascii="Times New Roman" w:cs="Times New Roman" w:eastAsia="Times New Roman" w:hAnsi="Times New Roman"/>
                <w:sz w:val="15"/>
                <w:szCs w:val="15"/>
                <w:color w:val="auto"/>
              </w:rPr>
              <w:t>Paid in Capital</w:t>
            </w: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5"/>
                <w:szCs w:val="15"/>
                <w:color w:val="auto"/>
              </w:rPr>
              <w:t>Comprehensive</w:t>
            </w:r>
          </w:p>
        </w:tc>
        <w:tc>
          <w:tcPr>
            <w:tcW w:w="1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740" w:type="dxa"/>
            <w:vAlign w:val="bottom"/>
          </w:tcPr>
          <w:p>
            <w:pPr>
              <w:spacing w:after="0"/>
              <w:rPr>
                <w:sz w:val="6"/>
                <w:szCs w:val="6"/>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5"/>
                <w:szCs w:val="15"/>
                <w:color w:val="auto"/>
              </w:rPr>
              <w:t>Shares</w:t>
            </w: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color w:val="auto"/>
              </w:rPr>
              <w:t>Amount</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6"/>
                <w:szCs w:val="6"/>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w:t>
            </w: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color w:val="auto"/>
              </w:rPr>
              <w:t>Deficit)</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Loss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17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Balance, August 28,</w:t>
            </w:r>
          </w:p>
        </w:tc>
        <w:tc>
          <w:tcPr>
            <w:tcW w:w="9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95,882,908</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959</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98,234</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1,085,001</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105,807</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1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1,188,804</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108,574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108,574</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Stock-based</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11,697</w:t>
            </w:r>
          </w:p>
        </w:tc>
        <w:tc>
          <w:tcPr>
            <w:tcW w:w="0" w:type="dxa"/>
            <w:vAlign w:val="bottom"/>
          </w:tcPr>
          <w:p>
            <w:pPr>
              <w:spacing w:after="0"/>
              <w:rPr>
                <w:sz w:val="1"/>
                <w:szCs w:val="1"/>
                <w:color w:val="auto"/>
              </w:rPr>
            </w:pPr>
          </w:p>
        </w:tc>
      </w:tr>
      <w:tr>
        <w:trPr>
          <w:trHeight w:val="203"/>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translation adjustments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Reclassification</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adjustment for</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currency translation</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5"/>
                <w:szCs w:val="15"/>
                <w:color w:val="auto"/>
              </w:rPr>
              <w:t>gains related to the</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liquidation of foreign</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entities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Repurchase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1,720,520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(59,858)</w:t>
            </w:r>
          </w:p>
        </w:tc>
        <w:tc>
          <w:tcPr>
            <w:tcW w:w="0" w:type="dxa"/>
            <w:vAlign w:val="bottom"/>
          </w:tcPr>
          <w:p>
            <w:pPr>
              <w:spacing w:after="0"/>
              <w:rPr>
                <w:sz w:val="1"/>
                <w:szCs w:val="1"/>
                <w:color w:val="auto"/>
              </w:rPr>
            </w:pPr>
          </w:p>
        </w:tc>
      </w:tr>
      <w:tr>
        <w:trPr>
          <w:trHeight w:val="22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 conversion</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4,830,761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189,849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189,897</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Shares issued upon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256,374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(3,660)</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Exercise of options to</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352,791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4,343</w:t>
            </w:r>
          </w:p>
        </w:tc>
        <w:tc>
          <w:tcPr>
            <w:tcW w:w="0" w:type="dxa"/>
            <w:vAlign w:val="bottom"/>
          </w:tcPr>
          <w:p>
            <w:pPr>
              <w:spacing w:after="0"/>
              <w:rPr>
                <w:sz w:val="1"/>
                <w:szCs w:val="1"/>
                <w:color w:val="auto"/>
              </w:rPr>
            </w:pPr>
          </w:p>
        </w:tc>
      </w:tr>
      <w:tr>
        <w:trPr>
          <w:trHeight w:val="129"/>
        </w:trPr>
        <w:tc>
          <w:tcPr>
            <w:tcW w:w="17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Balance, August 27,</w:t>
            </w:r>
          </w:p>
        </w:tc>
        <w:tc>
          <w:tcPr>
            <w:tcW w:w="90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101,322,834</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1,013</w:t>
            </w:r>
          </w:p>
        </w:tc>
        <w:tc>
          <w:tcPr>
            <w:tcW w:w="120" w:type="dxa"/>
            <w:vAlign w:val="bottom"/>
          </w:tcPr>
          <w:p>
            <w:pPr>
              <w:spacing w:after="0"/>
              <w:rPr>
                <w:sz w:val="11"/>
                <w:szCs w:val="11"/>
                <w:color w:val="auto"/>
              </w:rPr>
            </w:pPr>
          </w:p>
        </w:tc>
        <w:tc>
          <w:tcPr>
            <w:tcW w:w="74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1,818,754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(62,003)</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1,287,224</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214,381</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14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1,438,664</w:t>
            </w:r>
          </w:p>
        </w:tc>
        <w:tc>
          <w:tcPr>
            <w:tcW w:w="0" w:type="dxa"/>
            <w:vAlign w:val="bottom"/>
          </w:tcPr>
          <w:p>
            <w:pPr>
              <w:spacing w:after="0"/>
              <w:rPr>
                <w:sz w:val="1"/>
                <w:szCs w:val="1"/>
                <w:color w:val="auto"/>
              </w:rPr>
            </w:pPr>
          </w:p>
        </w:tc>
      </w:tr>
      <w:tr>
        <w:trPr>
          <w:trHeight w:val="194"/>
        </w:trPr>
        <w:tc>
          <w:tcPr>
            <w:tcW w:w="1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133,575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133,575</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Stock-based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13,562</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translation adjustments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Repurchase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546,346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(16,448)</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Shares issued upon</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210,718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(2,859)</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Exercise of options to</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396,316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5,247</w:t>
            </w:r>
          </w:p>
        </w:tc>
        <w:tc>
          <w:tcPr>
            <w:tcW w:w="0" w:type="dxa"/>
            <w:vAlign w:val="bottom"/>
          </w:tcPr>
          <w:p>
            <w:pPr>
              <w:spacing w:after="0"/>
              <w:rPr>
                <w:sz w:val="1"/>
                <w:szCs w:val="1"/>
                <w:color w:val="auto"/>
              </w:rPr>
            </w:pPr>
          </w:p>
        </w:tc>
      </w:tr>
      <w:tr>
        <w:trPr>
          <w:trHeight w:val="133"/>
        </w:trPr>
        <w:tc>
          <w:tcPr>
            <w:tcW w:w="1740" w:type="dxa"/>
            <w:vAlign w:val="bottom"/>
            <w:tcBorders>
              <w:top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Balance, August 26,</w:t>
            </w:r>
          </w:p>
        </w:tc>
        <w:tc>
          <w:tcPr>
            <w:tcW w:w="90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101,929,868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1,019</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2,365,100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(78,451)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1,303,168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347,956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1,571,099</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139,309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139,309</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Stock-based</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17,279</w:t>
            </w: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Foreign currency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translation adjustments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554</w:t>
            </w:r>
          </w:p>
        </w:tc>
        <w:tc>
          <w:tcPr>
            <w:tcW w:w="0" w:type="dxa"/>
            <w:vAlign w:val="bottom"/>
          </w:tcPr>
          <w:p>
            <w:pPr>
              <w:spacing w:after="0"/>
              <w:rPr>
                <w:sz w:val="1"/>
                <w:szCs w:val="1"/>
                <w:color w:val="auto"/>
              </w:rPr>
            </w:pPr>
          </w:p>
        </w:tc>
      </w:tr>
      <w:tr>
        <w:trPr>
          <w:trHeight w:val="152"/>
        </w:trPr>
        <w:tc>
          <w:tcPr>
            <w:tcW w:w="174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Shares issued upon</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vesting of restricted</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328,568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(5,048)</w:t>
            </w:r>
          </w:p>
        </w:tc>
        <w:tc>
          <w:tcPr>
            <w:tcW w:w="0" w:type="dxa"/>
            <w:vAlign w:val="bottom"/>
          </w:tcPr>
          <w:p>
            <w:pPr>
              <w:spacing w:after="0"/>
              <w:rPr>
                <w:sz w:val="1"/>
                <w:szCs w:val="1"/>
                <w:color w:val="auto"/>
              </w:rPr>
            </w:pPr>
          </w:p>
        </w:tc>
      </w:tr>
      <w:tr>
        <w:trPr>
          <w:trHeight w:val="149"/>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Exercise of options to</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purchase common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256,879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4,293</w:t>
            </w:r>
          </w:p>
        </w:tc>
        <w:tc>
          <w:tcPr>
            <w:tcW w:w="0" w:type="dxa"/>
            <w:vAlign w:val="bottom"/>
          </w:tcPr>
          <w:p>
            <w:pPr>
              <w:spacing w:after="0"/>
              <w:rPr>
                <w:sz w:val="1"/>
                <w:szCs w:val="1"/>
                <w:color w:val="auto"/>
              </w:rPr>
            </w:pPr>
          </w:p>
        </w:tc>
      </w:tr>
      <w:tr>
        <w:trPr>
          <w:trHeight w:val="132"/>
        </w:trPr>
        <w:tc>
          <w:tcPr>
            <w:tcW w:w="1740" w:type="dxa"/>
            <w:vAlign w:val="bottom"/>
            <w:tcBorders>
              <w:top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Balance, August 31,</w:t>
            </w:r>
          </w:p>
        </w:tc>
        <w:tc>
          <w:tcPr>
            <w:tcW w:w="90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102,515,315</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1,025</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2,365,100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(78,451)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1,319,686</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487,265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1,727,486</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Atkins, and OWYN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w:t>
      </w:r>
    </w:p>
    <w:p>
      <w:pPr>
        <w:spacing w:after="0" w:line="207" w:lineRule="exact"/>
        <w:rPr>
          <w:sz w:val="20"/>
          <w:szCs w:val="20"/>
          <w:color w:val="auto"/>
        </w:rPr>
      </w:pPr>
    </w:p>
    <w:p>
      <w:pPr>
        <w:jc w:val="both"/>
        <w:ind w:firstLine="285"/>
        <w:spacing w:after="0" w:line="256"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Atkins for those following a low-carb lifestyle and OWYN for those looking for plant-based alternatives.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19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89"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31, 2024, and August 26, 2023. The remaining financial statements include the fifty-three weeks ended August 31, 2024, the fifty-two weeks ended August 26, 2023, and the fifty-two weeks ended August 27, 2022.</w:t>
      </w:r>
    </w:p>
    <w:p>
      <w:pPr>
        <w:spacing w:after="0" w:line="207" w:lineRule="exact"/>
        <w:rPr>
          <w:sz w:val="20"/>
          <w:szCs w:val="20"/>
          <w:color w:val="auto"/>
        </w:rPr>
      </w:pPr>
    </w:p>
    <w:p>
      <w:pPr>
        <w:jc w:val="both"/>
        <w:ind w:firstLine="32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20" w:firstLine="203"/>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On June 13, 2024, pursuant to the Purchase Agreement, the Company completed the OWYN Acquisition by acquiring 100% of the equity interests for a cash purchase price at closing of $281.9 million, subject to certain customary post-closing adjustments. The OWYN Acquisition was accounted for using the acquisition method of accounting prescribed by Accounting Standard Codification ("ASC") Topic 805, Business Combinations (“ASC 805”), whereby the results of operations, including the revenues and earnings of OWYN,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 estimating fair values requires the use of significant estimates, assumptions and judgments, including determining the timing and estimates of</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cash flows and developing appropriate discount rates. ASC 805 establishes a measurement period to provide the Company with a reasonable amount of time to obtain the information necessary to identify and measure various items in a business combination and cannot extend beyond one year from the acquisition date. Measurement period adjustments are recognized in the reporting period in which the adjustments are determined and calculated as if the accounting had been completed as of the acquisition date. The Company expects to complete the final fair value determination of the assets acquired and liabilities assumed as soon as practicable within the measurement period, but not to exceed one year from the acquisition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ind w:firstLine="211"/>
        <w:spacing w:after="0" w:line="256"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4" w:lineRule="exact"/>
        <w:rPr>
          <w:sz w:val="20"/>
          <w:szCs w:val="20"/>
          <w:color w:val="auto"/>
        </w:rPr>
      </w:pPr>
    </w:p>
    <w:p>
      <w:pPr>
        <w:jc w:val="both"/>
        <w:ind w:firstLine="1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consists of cash on hand, deposits available on demand and other short-term, highly liquid investments with original maturities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Expected Credit Losses</w:t>
      </w:r>
    </w:p>
    <w:p>
      <w:pPr>
        <w:spacing w:after="0" w:line="254"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consists primarily of trade receivables, net of allowances for doubtful accounts, returns, and trade promotions.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 based upon the Company’s historical credit loss experience, adjusted for asset-specific risk characteristics, current economic conditions, and reasonable forecasts. Accounts receivable are written off when determined to be uncollectible.</w:t>
      </w:r>
    </w:p>
    <w:p>
      <w:pPr>
        <w:spacing w:after="0" w:line="212" w:lineRule="exact"/>
        <w:rPr>
          <w:sz w:val="20"/>
          <w:szCs w:val="20"/>
          <w:color w:val="auto"/>
        </w:rPr>
      </w:pPr>
    </w:p>
    <w:p>
      <w:pPr>
        <w:jc w:val="both"/>
        <w:ind w:firstLine="280"/>
        <w:spacing w:after="0" w:line="266" w:lineRule="auto"/>
        <w:rPr>
          <w:sz w:val="20"/>
          <w:szCs w:val="20"/>
          <w:color w:val="auto"/>
        </w:rPr>
      </w:pPr>
      <w:r>
        <w:rPr>
          <w:rFonts w:ascii="Times New Roman" w:cs="Times New Roman" w:eastAsia="Times New Roman" w:hAnsi="Times New Roman"/>
          <w:sz w:val="18"/>
          <w:szCs w:val="18"/>
          <w:color w:val="auto"/>
        </w:rPr>
        <w:t>Charges related to credit (recoveries) losses on accounts receivables from transactions with external customers were approximately $(0.1) million, $0.7 million, and $0.1 million for the fifty-three weeks ended August 31, 2024, the fifty-two weeks ended August 26, 2023, and August 27, 2022, respectively. As of August 31, 2024, and August 26, 2023, the allowance for doubtful accounts was $0.7 million and $1.9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4"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are valued at the lower of cost or net realizable value on a first-in, first-out basis, adjusted for the value of inventory that is determined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as presented with the Consolidated Balance Sheets, is summarized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111,761</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 for obsolete inventory</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142,107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116,591</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4" w:lineRule="exact"/>
        <w:rPr>
          <w:sz w:val="20"/>
          <w:szCs w:val="20"/>
          <w:color w:val="auto"/>
        </w:rPr>
      </w:pPr>
    </w:p>
    <w:p>
      <w:pPr>
        <w:jc w:val="both"/>
        <w:ind w:firstLine="26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is stated at the allocated fair value for acquired assets. Additions to property and equipment are recorded at cost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depreciated on a straight-line basis over their estimated useful lives. The general ranges of estimated useful lives are:</w:t>
      </w: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27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7 years</w:t>
            </w:r>
          </w:p>
        </w:tc>
      </w:tr>
      <w:tr>
        <w:trPr>
          <w:trHeight w:val="267"/>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software and website development costs</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r>
        <w:trPr>
          <w:trHeight w:val="27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 years</w:t>
            </w:r>
          </w:p>
        </w:tc>
      </w:tr>
      <w:tr>
        <w:trPr>
          <w:trHeight w:val="26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325"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remaining term of the lease or the useful life of the improvement utilizing the straight-line method.</w:t>
      </w:r>
    </w:p>
    <w:p>
      <w:pPr>
        <w:spacing w:after="0" w:line="187" w:lineRule="exact"/>
        <w:rPr>
          <w:sz w:val="20"/>
          <w:szCs w:val="20"/>
          <w:color w:val="auto"/>
        </w:rPr>
      </w:pPr>
    </w:p>
    <w:p>
      <w:pPr>
        <w:jc w:val="both"/>
        <w:ind w:firstLine="214"/>
        <w:spacing w:after="0" w:line="284" w:lineRule="auto"/>
        <w:rPr>
          <w:sz w:val="20"/>
          <w:szCs w:val="20"/>
          <w:color w:val="auto"/>
        </w:rPr>
      </w:pPr>
      <w:r>
        <w:rPr>
          <w:rFonts w:ascii="Times New Roman" w:cs="Times New Roman" w:eastAsia="Times New Roman" w:hAnsi="Times New Roman"/>
          <w:sz w:val="18"/>
          <w:szCs w:val="18"/>
          <w:color w:val="auto"/>
        </w:rPr>
        <w:t xml:space="preserve">The Company performs impairment tests for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when circumstances indicate that the carrying value of the asset may not be recoverable. There were no indicators of impairment in the fifty-three weeks ended August 31, 2024, August 26, 2023, or August 27,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254" w:lineRule="exact"/>
        <w:rPr>
          <w:sz w:val="20"/>
          <w:szCs w:val="20"/>
          <w:color w:val="auto"/>
        </w:rPr>
      </w:pPr>
    </w:p>
    <w:p>
      <w:pPr>
        <w:jc w:val="both"/>
        <w:ind w:firstLine="20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Intangible assets, net </w:t>
      </w:r>
      <w:r>
        <w:rPr>
          <w:rFonts w:ascii="Times New Roman" w:cs="Times New Roman" w:eastAsia="Times New Roman" w:hAnsi="Times New Roman"/>
          <w:sz w:val="18"/>
          <w:szCs w:val="18"/>
          <w:color w:val="auto"/>
        </w:rPr>
        <w:t>result primarily from the consummation of the business combination between Conyers Park Acquisition Corp.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NCP-ATK Holdings, Inc. on July 7, 2017, which created the Company, and the acquisitions of Quest and OWYN.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primarily includes brands 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 of a reporting unit or an indefinite-lived intangible asset is less than its carrying amount.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Impairment is indicated if the estimated fair value of the reporting unit or indefinite-lived intangible asset is less than the carrying amount, and an impairment charge is recognized for the differential.</w:t>
      </w:r>
    </w:p>
    <w:p>
      <w:pPr>
        <w:spacing w:after="0" w:line="215" w:lineRule="exact"/>
        <w:rPr>
          <w:sz w:val="20"/>
          <w:szCs w:val="20"/>
          <w:color w:val="auto"/>
        </w:rPr>
      </w:pPr>
    </w:p>
    <w:p>
      <w:pPr>
        <w:jc w:val="both"/>
        <w:ind w:firstLine="188"/>
        <w:spacing w:after="0" w:line="254" w:lineRule="auto"/>
        <w:rPr>
          <w:sz w:val="20"/>
          <w:szCs w:val="20"/>
          <w:color w:val="auto"/>
        </w:rPr>
      </w:pPr>
      <w:r>
        <w:rPr>
          <w:rFonts w:ascii="Times New Roman" w:cs="Times New Roman" w:eastAsia="Times New Roman" w:hAnsi="Times New Roman"/>
          <w:sz w:val="18"/>
          <w:szCs w:val="18"/>
          <w:color w:val="auto"/>
        </w:rPr>
        <w:t>During the third quarter of the fiscal year ended August 31, 2024, the Company conducted a qualitative impairment assessment in the fiscal third quarter that identified potential indicators of impairment for the Atkins brand indefinite lived intangible asset. Accordingly, the Company proceeded to conduct a quantitative impairment assessment over the asset. Based on our testing, the asset had an excess fair value well over its respective carrying value, resulting in no impairment. During the fifty-three weeks ended August 31, 2024, the Company performed qualitative impairment assessments for its indefinite-lived intangible assets as of the first day of the fourth fiscal quarter. The qualitative assessment did not identify indicators of impairment, and it was determined that it was more likely than not each indefinite-lived intangible asset had fair values in excess of their carrying values. Accordingly, no further impairment assessments were necessary. There were no impairment charges related to indefinite-lived intangibles recognized in the fifty-three weeks ended August 31, 2024, August 26, 2023, or August 27, 2022, respectively. Refer to Note 5, Goodwill and Intangibles for additional information regarding the Company’s reporting units and impairment assessments.</w:t>
      </w:r>
    </w:p>
    <w:p>
      <w:pPr>
        <w:spacing w:after="0" w:line="215" w:lineRule="exact"/>
        <w:rPr>
          <w:sz w:val="20"/>
          <w:szCs w:val="20"/>
          <w:color w:val="auto"/>
        </w:rPr>
      </w:pPr>
    </w:p>
    <w:p>
      <w:pPr>
        <w:jc w:val="both"/>
        <w:ind w:firstLine="202"/>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 and Debt Discounts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Costs incurred in obtaining long-term financing paid to parties other than creditors are considered a deferred financing cost, which are presented net against </w:t>
      </w:r>
      <w:r>
        <w:rPr>
          <w:rFonts w:ascii="Times New Roman" w:cs="Times New Roman" w:eastAsia="Times New Roman" w:hAnsi="Times New Roman"/>
          <w:sz w:val="18"/>
          <w:szCs w:val="18"/>
          <w:i w:val="1"/>
          <w:iCs w:val="1"/>
          <w:color w:val="auto"/>
        </w:rPr>
        <w:t>Long-term debt, less current maturities</w:t>
      </w:r>
      <w:r>
        <w:rPr>
          <w:rFonts w:ascii="Times New Roman" w:cs="Times New Roman" w:eastAsia="Times New Roman" w:hAnsi="Times New Roman"/>
          <w:sz w:val="18"/>
          <w:szCs w:val="18"/>
          <w:color w:val="auto"/>
        </w:rPr>
        <w:t xml:space="preserve"> on the balance sheet,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271"/>
        <w:spacing w:after="0" w:line="258" w:lineRule="auto"/>
        <w:rPr>
          <w:sz w:val="20"/>
          <w:szCs w:val="20"/>
          <w:color w:val="auto"/>
        </w:rPr>
      </w:pPr>
      <w:r>
        <w:rPr>
          <w:rFonts w:ascii="Times New Roman" w:cs="Times New Roman" w:eastAsia="Times New Roman" w:hAnsi="Times New Roman"/>
          <w:sz w:val="18"/>
          <w:szCs w:val="18"/>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203" w:lineRule="exact"/>
        <w:rPr>
          <w:sz w:val="20"/>
          <w:szCs w:val="20"/>
          <w:color w:val="auto"/>
        </w:rPr>
      </w:pPr>
    </w:p>
    <w:p>
      <w:pPr>
        <w:jc w:val="both"/>
        <w:ind w:firstLine="251"/>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219"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Accounting</w:t>
      </w:r>
    </w:p>
    <w:p>
      <w:pPr>
        <w:spacing w:after="0" w:line="256" w:lineRule="exact"/>
        <w:rPr>
          <w:sz w:val="20"/>
          <w:szCs w:val="20"/>
          <w:color w:val="auto"/>
        </w:rPr>
      </w:pPr>
    </w:p>
    <w:p>
      <w:pPr>
        <w:jc w:val="both"/>
        <w:ind w:firstLine="205"/>
        <w:spacing w:after="0" w:line="258"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and ASC Topic 815-40, Derivatives and Hedging: Contracts in Entity’s Own Equity (“ASC 815-40”). The classification of derivative instruments, including whether such instruments should be recorded as liabilities or as equity, is assessed as part of this evaluation.</w:t>
      </w:r>
    </w:p>
    <w:p>
      <w:pPr>
        <w:spacing w:after="0" w:line="210" w:lineRule="exact"/>
        <w:rPr>
          <w:sz w:val="20"/>
          <w:szCs w:val="20"/>
          <w:color w:val="auto"/>
        </w:rPr>
      </w:pPr>
    </w:p>
    <w:p>
      <w:pPr>
        <w:jc w:val="both"/>
        <w:ind w:firstLine="215"/>
        <w:spacing w:after="0" w:line="256"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had outstanding liability-classified private warrants that allowed holders to purchase 6,700,000 shares of the Company’s common stock (the “Private Warrants”). Such Private Warrants were held by Conyers Park Sponsor, LLC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31, 2024, or August 26, 2023.</w:t>
      </w:r>
    </w:p>
    <w:p>
      <w:pPr>
        <w:spacing w:after="0" w:line="214" w:lineRule="exact"/>
        <w:rPr>
          <w:sz w:val="20"/>
          <w:szCs w:val="20"/>
          <w:color w:val="auto"/>
        </w:rPr>
      </w:pPr>
    </w:p>
    <w:p>
      <w:pPr>
        <w:jc w:val="both"/>
        <w:ind w:firstLine="288"/>
        <w:spacing w:after="0" w:line="255" w:lineRule="auto"/>
        <w:rPr>
          <w:sz w:val="20"/>
          <w:szCs w:val="20"/>
          <w:color w:val="auto"/>
        </w:rPr>
      </w:pPr>
      <w:r>
        <w:rPr>
          <w:rFonts w:ascii="Times New Roman" w:cs="Times New Roman" w:eastAsia="Times New Roman" w:hAnsi="Times New Roman"/>
          <w:sz w:val="18"/>
          <w:szCs w:val="18"/>
          <w:color w:val="auto"/>
        </w:rPr>
        <w:t xml:space="preserve">During the reporting periods the Private Warrants were outstanding, they were precluded from equity classification, being liability-classified. The Company accounted for these Private Warrants as a derivative warrant liability in accordance with ASC 815-40. Accordingly, the Company recognized the Private Warrants as a liability at fair value and adjusted the Private Warrants to fair value at each reporting period through other income. The fair value adjustments were determined using a Black-Scholes option-pricing methodology (“Black-Scholes model”). The valuation was primarily based on observable market data while the related theoretical private warrant volatility assumption within the Black-Scholes model represented a Level 3 measurement within the fair value measurement hierarchy. The periodic remeasurement of the Private Warrants was reflected in </w:t>
      </w:r>
      <w:r>
        <w:rPr>
          <w:rFonts w:ascii="Times New Roman" w:cs="Times New Roman" w:eastAsia="Times New Roman" w:hAnsi="Times New Roman"/>
          <w:sz w:val="18"/>
          <w:szCs w:val="18"/>
          <w:i w:val="1"/>
          <w:iCs w:val="1"/>
          <w:color w:val="auto"/>
        </w:rPr>
        <w:t>(Loss) in fair value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warrant liability </w:t>
      </w:r>
      <w:r>
        <w:rPr>
          <w:rFonts w:ascii="Times New Roman" w:cs="Times New Roman" w:eastAsia="Times New Roman" w:hAnsi="Times New Roman"/>
          <w:sz w:val="18"/>
          <w:szCs w:val="18"/>
          <w:color w:val="auto"/>
        </w:rPr>
        <w:t>within the Consolidated Statements of Income and Comprehensive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287"/>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fulfilled product orders, including</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As of August 31, 2024, and August 26, 2023, the allowance for trade promotions was $36.3 million and $28.8 million, respectively.</w:t>
      </w:r>
    </w:p>
    <w:p>
      <w:pPr>
        <w:spacing w:after="0" w:line="214" w:lineRule="exact"/>
        <w:rPr>
          <w:sz w:val="20"/>
          <w:szCs w:val="20"/>
          <w:color w:val="auto"/>
        </w:rPr>
      </w:pPr>
    </w:p>
    <w:p>
      <w:pPr>
        <w:jc w:val="both"/>
        <w:ind w:firstLine="204"/>
        <w:spacing w:after="0" w:line="255" w:lineRule="auto"/>
        <w:rPr>
          <w:sz w:val="20"/>
          <w:szCs w:val="20"/>
          <w:color w:val="auto"/>
        </w:rPr>
      </w:pPr>
      <w:r>
        <w:rPr>
          <w:rFonts w:ascii="Times New Roman" w:cs="Times New Roman" w:eastAsia="Times New Roman" w:hAnsi="Times New Roman"/>
          <w:sz w:val="18"/>
          <w:szCs w:val="18"/>
          <w:color w:val="auto"/>
        </w:rPr>
        <w:t>Estimates of variable consideration are made using various information including historical data on performance of similar trade promotional activities, market data from IRI,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216" w:lineRule="exact"/>
        <w:rPr>
          <w:sz w:val="20"/>
          <w:szCs w:val="20"/>
          <w:color w:val="auto"/>
        </w:rPr>
      </w:pPr>
    </w:p>
    <w:p>
      <w:pPr>
        <w:jc w:val="both"/>
        <w:ind w:firstLine="249"/>
        <w:spacing w:after="0" w:line="261" w:lineRule="auto"/>
        <w:rPr>
          <w:sz w:val="20"/>
          <w:szCs w:val="20"/>
          <w:color w:val="auto"/>
        </w:rPr>
      </w:pPr>
      <w:r>
        <w:rPr>
          <w:rFonts w:ascii="Times New Roman" w:cs="Times New Roman" w:eastAsia="Times New Roman" w:hAnsi="Times New Roman"/>
          <w:sz w:val="18"/>
          <w:szCs w:val="18"/>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207"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w:t>
      </w:r>
    </w:p>
    <w:p>
      <w:pPr>
        <w:spacing w:after="0" w:line="207" w:lineRule="exact"/>
        <w:rPr>
          <w:sz w:val="20"/>
          <w:szCs w:val="20"/>
          <w:color w:val="auto"/>
        </w:rPr>
      </w:pPr>
    </w:p>
    <w:p>
      <w:pPr>
        <w:jc w:val="both"/>
        <w:ind w:firstLine="209"/>
        <w:spacing w:after="0" w:line="266" w:lineRule="auto"/>
        <w:rPr>
          <w:sz w:val="20"/>
          <w:szCs w:val="20"/>
          <w:color w:val="auto"/>
        </w:rPr>
      </w:pPr>
      <w:r>
        <w:rPr>
          <w:rFonts w:ascii="Times New Roman" w:cs="Times New Roman" w:eastAsia="Times New Roman" w:hAnsi="Times New Roman"/>
          <w:sz w:val="18"/>
          <w:szCs w:val="18"/>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203" w:lineRule="exact"/>
        <w:rPr>
          <w:sz w:val="20"/>
          <w:szCs w:val="20"/>
          <w:color w:val="auto"/>
        </w:rPr>
      </w:pPr>
    </w:p>
    <w:p>
      <w:pPr>
        <w:jc w:val="both"/>
        <w:ind w:firstLine="322"/>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Consolidated Statements of Income and Comprehensive Income.</w:t>
      </w:r>
    </w:p>
    <w:p>
      <w:pPr>
        <w:spacing w:after="0" w:line="207" w:lineRule="exact"/>
        <w:rPr>
          <w:sz w:val="20"/>
          <w:szCs w:val="20"/>
          <w:color w:val="auto"/>
        </w:rPr>
      </w:pPr>
    </w:p>
    <w:p>
      <w:pPr>
        <w:jc w:val="both"/>
        <w:ind w:firstLine="214"/>
        <w:spacing w:after="0" w:line="282" w:lineRule="auto"/>
        <w:rPr>
          <w:sz w:val="20"/>
          <w:szCs w:val="20"/>
          <w:color w:val="auto"/>
        </w:rPr>
      </w:pPr>
      <w:r>
        <w:rPr>
          <w:rFonts w:ascii="Times New Roman" w:cs="Times New Roman" w:eastAsia="Times New Roman" w:hAnsi="Times New Roman"/>
          <w:sz w:val="18"/>
          <w:szCs w:val="18"/>
          <w:color w:val="auto"/>
        </w:rPr>
        <w:t>Revenues from transactions with external customers for each of the Company’s products would be impracticable to disclose and management does not view its business by product line. For revenue disaggregated by geographic area and brand refer to Note 15, Segment and Customer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ind w:firstLine="201"/>
        <w:spacing w:after="0" w:line="261" w:lineRule="auto"/>
        <w:rPr>
          <w:sz w:val="20"/>
          <w:szCs w:val="20"/>
          <w:color w:val="auto"/>
        </w:rPr>
      </w:pPr>
      <w:r>
        <w:rPr>
          <w:rFonts w:ascii="Times New Roman" w:cs="Times New Roman" w:eastAsia="Times New Roman" w:hAnsi="Times New Roman"/>
          <w:sz w:val="18"/>
          <w:szCs w:val="18"/>
          <w:color w:val="auto"/>
        </w:rPr>
        <w:t xml:space="preserve">Shipping and handling costs include costs paid to third-party warehouse operators associated with delivering product to customers and depreciation and amortization of company-owned assets at the third-party warehouse. Shipping and handling costs are recognized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Costs relating to products shipped to customers were $93.5 million, $89.2 million, and $91.7 million for the fifty-three weeks ended August 31, 2024, and the fifty-two weeks ended August 26, 2023, and August 27,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 xml:space="preserve">Production costs related to television commercials are expensed when first aired. All other advertising costs are expensed when incurred or when the advertising service is received through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Total advertising costs were $103.0 million, $79.2 million, and $84.3 million for the fifty-three weeks ended August 31, 2024, and the fifty-two weeks ended August 26, 2023, and August 27, 2022, respectively.</w:t>
      </w:r>
    </w:p>
    <w:p>
      <w:pPr>
        <w:spacing w:after="0" w:line="201" w:lineRule="exact"/>
        <w:rPr>
          <w:sz w:val="20"/>
          <w:szCs w:val="20"/>
          <w:color w:val="auto"/>
        </w:rPr>
      </w:pPr>
    </w:p>
    <w:p>
      <w:pPr>
        <w:jc w:val="both"/>
        <w:ind w:right="20" w:firstLine="189"/>
        <w:spacing w:after="0" w:line="267" w:lineRule="auto"/>
        <w:rPr>
          <w:sz w:val="20"/>
          <w:szCs w:val="20"/>
          <w:color w:val="auto"/>
        </w:rPr>
      </w:pPr>
      <w:r>
        <w:rPr>
          <w:rFonts w:ascii="Times New Roman" w:cs="Times New Roman" w:eastAsia="Times New Roman" w:hAnsi="Times New Roman"/>
          <w:sz w:val="18"/>
          <w:szCs w:val="18"/>
          <w:color w:val="auto"/>
        </w:rPr>
        <w:t xml:space="preserve">Production costs related to television commercials not yet aired and prepaid advertising services not yet received are included in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in the accompanying Consolidated Balance Sheets. As of August 31, 2024, and August 26, 2023, total prepaid advertising expenses were $1.0 million and $1.8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56"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The Company’s total research and development expenses were $5.4 million, $4.3 million, and $4.1 million for the fifty-three weeks ended August 31, 2024, and the fifty-two weeks ended August 26, 2023, and August 27, 2022,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firstLine="209"/>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share-based compensation, including stock options, restricted stock units, performance stock units, and stock appreciation rights, to provide long-term performance incentives for its employees, directors, and consultants. Share-based compensation is recognized on a straight-line basis over the requisite service period of the award based on their grant-date fair value. Forfeitures are recognized as they occur. Employee related Share-based compensation expense is included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while Share-based compensation expense related to non-employee consultants of the Company is recorded in </w:t>
      </w:r>
      <w:r>
        <w:rPr>
          <w:rFonts w:ascii="Times New Roman" w:cs="Times New Roman" w:eastAsia="Times New Roman" w:hAnsi="Times New Roman"/>
          <w:sz w:val="18"/>
          <w:szCs w:val="18"/>
          <w:i w:val="1"/>
          <w:iCs w:val="1"/>
          <w:color w:val="auto"/>
        </w:rPr>
        <w:t>Selling and marketing.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56"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$1.6 million, $1.4 million, and $1.1 million for the fifty-three weeks ended August 31, 2024, and the fifty-two weeks ended August 26, 2023, and August 27,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Times New Roman" w:cs="Times New Roman" w:eastAsia="Times New Roman" w:hAnsi="Times New Roman"/>
          <w:sz w:val="18"/>
          <w:szCs w:val="18"/>
          <w:i w:val="1"/>
          <w:iCs w:val="1"/>
          <w:color w:val="auto"/>
        </w:rPr>
        <w:t>Other comprehensive income</w:t>
      </w:r>
      <w:r>
        <w:rPr>
          <w:rFonts w:ascii="Times New Roman" w:cs="Times New Roman" w:eastAsia="Times New Roman" w:hAnsi="Times New Roman"/>
          <w:sz w:val="18"/>
          <w:szCs w:val="18"/>
          <w:color w:val="auto"/>
        </w:rPr>
        <w:t xml:space="preserve">. Gains or losses resulting from transactions in foreign currencies are included in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should be applied on a prospective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7,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278"/>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totaling $250.0 million, and cash on hand. Business transaction costs within the Consolidated Statements of Income and Comprehensive Income for the fifty-three weeks ended August 31, 2024 were $14.5 million, inclusive of $5.7 million of transaction advisory fees related to the OWYN Acquisition, $3.4 million of non-deferrable third-party financing costs incurred in connection with the 2024 Incremental Facility Amendment to the Credit Agreement, and $5.4 million of legal, due diligence, accounting, and other costs.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preliminary purchase price allocation of the OWYN Acquisition to the estimated fair value of the net assets acquired at the date of the Acquisition, in thousands. The preliminary purchase price allocation may be adjusted as a result of the finalization of the Company’s purchase price allocation procedures related to the assets acquired and liabilities assumed; including, but not limited to, certain customary post-closing adjustments such as the finalization of working capital, tax return finalization,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June 13, 2024, fair value is as follows: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38,955</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243,626</w:t>
            </w:r>
          </w:p>
        </w:tc>
      </w:tr>
      <w:tr>
        <w:trPr>
          <w:trHeight w:val="27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233,332</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(4)</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48,553</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281,885</w:t>
            </w:r>
          </w:p>
        </w:tc>
      </w:tr>
      <w:tr>
        <w:trPr>
          <w:trHeight w:val="20"/>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80" w:lineRule="auto"/>
        <w:tabs>
          <w:tab w:leader="none" w:pos="3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were recorded at fair value consistent with ASC 820 as a result of the OWYN Acquisition. Intangible assets consist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206" w:lineRule="exact"/>
        <w:rPr>
          <w:rFonts w:ascii="Times New Roman" w:cs="Times New Roman" w:eastAsia="Times New Roman" w:hAnsi="Times New Roman"/>
          <w:sz w:val="16"/>
          <w:szCs w:val="16"/>
          <w:color w:val="auto"/>
        </w:rPr>
      </w:pPr>
    </w:p>
    <w:p>
      <w:pPr>
        <w:ind w:left="3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177"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2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$41.5 million.</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5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determination of the fair value of the assets acquired and liabilities assumed is expected to be completed in the fourth fiscal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Measurement period adjustments are recognized in the reporting period in which the adjustments are determined and calculated as if the accounting had been completed at the acquisition date. The final fair value determination of the assets acquired and liabilities assumed will be completed prior to one year from the transaction completion, consistent with ASC 805.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OWYN’s operations have been included in the Simply Good Foods' Consolidated Financial Statements since the acquisition date. The Company has not disclosed earnings from the acquired OWYN business as they are immaterial. The following table provides net sales from the acquired OWYN business included in the Company's results: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300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53-Weeks Ended</w:t>
            </w:r>
          </w:p>
        </w:tc>
      </w:tr>
      <w:tr>
        <w:trPr>
          <w:trHeight w:val="2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29,213</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Pro Forma Financial Information</w:t>
      </w: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OWYN Acquisition been completed at the beginning of the fiscal year 2023, nor is it representative of future operating results of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end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1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assuming the OWYN Acquisition occurred at the beginning of fiscal year 2023:</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53-Weeks Ended</w:t>
            </w:r>
          </w:p>
        </w:tc>
        <w:tc>
          <w:tcPr>
            <w:tcW w:w="260" w:type="dxa"/>
            <w:vAlign w:val="bottom"/>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29"/>
        </w:trPr>
        <w:tc>
          <w:tcPr>
            <w:tcW w:w="39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August 31, 2024</w:t>
            </w:r>
          </w:p>
        </w:tc>
        <w:tc>
          <w:tcPr>
            <w:tcW w:w="260" w:type="dxa"/>
            <w:vAlign w:val="bottom"/>
          </w:tcPr>
          <w:p>
            <w:pPr>
              <w:spacing w:after="0"/>
              <w:rPr>
                <w:sz w:val="19"/>
                <w:szCs w:val="19"/>
                <w:color w:val="auto"/>
              </w:rPr>
            </w:pP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30"/>
        </w:trPr>
        <w:tc>
          <w:tcPr>
            <w:tcW w:w="39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1,303,643</w:t>
            </w:r>
          </w:p>
        </w:tc>
      </w:tr>
      <w:tr>
        <w:trPr>
          <w:trHeight w:val="210"/>
        </w:trPr>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97,693</w:t>
            </w:r>
          </w:p>
        </w:tc>
      </w:tr>
    </w:tbl>
    <w:p>
      <w:pPr>
        <w:spacing w:after="0" w:line="321"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5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as presented with the Consolidated Balance Sheets, is summarized as follows:</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16,944</w:t>
            </w:r>
          </w:p>
        </w:tc>
      </w:tr>
      <w:tr>
        <w:trPr>
          <w:trHeight w:val="26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9,747</w:t>
            </w:r>
          </w:p>
        </w:tc>
      </w:tr>
      <w:tr>
        <w:trPr>
          <w:trHeight w:val="27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right-of-use-assets</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67"/>
        </w:trPr>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53"/>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36,741</w:t>
            </w:r>
          </w:p>
        </w:tc>
      </w:tr>
      <w:tr>
        <w:trPr>
          <w:trHeight w:val="267"/>
        </w:trPr>
        <w:tc>
          <w:tcPr>
            <w:tcW w:w="3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(11,880)</w:t>
            </w:r>
          </w:p>
        </w:tc>
      </w:tr>
      <w:tr>
        <w:trPr>
          <w:trHeight w:val="251"/>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237"/>
        <w:spacing w:after="0" w:line="282" w:lineRule="auto"/>
        <w:rPr>
          <w:sz w:val="20"/>
          <w:szCs w:val="20"/>
          <w:color w:val="auto"/>
        </w:rPr>
      </w:pPr>
      <w:r>
        <w:rPr>
          <w:rFonts w:ascii="Times New Roman" w:cs="Times New Roman" w:eastAsia="Times New Roman" w:hAnsi="Times New Roman"/>
          <w:sz w:val="18"/>
          <w:szCs w:val="18"/>
          <w:color w:val="auto"/>
        </w:rPr>
        <w:t>Total depreciation expense was $5.8 million for the fifty-three weeks ended August 31, 2024, $4.4 million for the fifty-two weeks ended August 26, 2023, and $3.2 million for the fifty-two weeks ended August 27,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Changes to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during the fifty-three weeks ended August 31, 2024 were as follows:</w:t>
      </w:r>
    </w:p>
    <w:p>
      <w:pPr>
        <w:spacing w:after="0" w:line="297" w:lineRule="exact"/>
        <w:rPr>
          <w:sz w:val="20"/>
          <w:szCs w:val="20"/>
          <w:color w:val="auto"/>
        </w:rPr>
      </w:pPr>
    </w:p>
    <w:tbl>
      <w:tblPr>
        <w:tblLayout w:type="fixed"/>
        <w:tblInd w:w="3000" w:type="dxa"/>
        <w:tblCellMar>
          <w:top w:w="0" w:type="dxa"/>
          <w:left w:w="0" w:type="dxa"/>
          <w:bottom w:w="0" w:type="dxa"/>
          <w:right w:w="0" w:type="dxa"/>
        </w:tblCellMar>
      </w:tblPr>
      <w:tr>
        <w:trPr>
          <w:trHeight w:val="215"/>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Goodwill</w:t>
            </w:r>
          </w:p>
        </w:tc>
      </w:tr>
      <w:tr>
        <w:trPr>
          <w:trHeight w:val="213"/>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26, 2023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r>
      <w:tr>
        <w:trPr>
          <w:trHeight w:val="21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48,553</w:t>
            </w:r>
          </w:p>
        </w:tc>
      </w:tr>
      <w:tr>
        <w:trPr>
          <w:trHeight w:val="244"/>
        </w:trPr>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31, 2024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change in Goodwill during the fifty-three week period ended August 31, 2024, was the result of the acquisition method of accounting related to the OWYN Acquisition as described in Note 3. There were no changes in the Company’s goodwill in the fifty-two week period ended August 26, 2023. There were no impairment charges related to goodwill during the fifty-three weeks ended August 31, 2024, or since the inception of the Company.</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 of the following:</w:t>
      </w:r>
    </w:p>
    <w:p>
      <w:pPr>
        <w:spacing w:after="0" w:line="353"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w w:val="99"/>
              </w:rPr>
              <w:t>Useful life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Accumulated</w:t>
            </w:r>
          </w:p>
        </w:tc>
        <w:tc>
          <w:tcPr>
            <w:tcW w:w="15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Net carrying amount</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amortization</w:t>
            </w:r>
          </w:p>
        </w:tc>
        <w:tc>
          <w:tcPr>
            <w:tcW w:w="15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rPr>
              <w:t>Indefinite life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3"/>
                <w:szCs w:val="2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15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color w:val="auto"/>
              </w:rPr>
              <w:t>13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August 26, 2023</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9"/>
              </w:rPr>
              <w:t>Useful life</w:t>
            </w:r>
          </w:p>
        </w:tc>
        <w:tc>
          <w:tcPr>
            <w:tcW w:w="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7"/>
                <w:szCs w:val="17"/>
                <w:color w:val="auto"/>
              </w:rPr>
            </w:pPr>
          </w:p>
        </w:tc>
        <w:tc>
          <w:tcPr>
            <w:tcW w:w="1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Net carrying amount</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rPr>
              <w:t>Indefinite life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974,000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15 years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174,000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53,303</w:t>
            </w:r>
          </w:p>
        </w:tc>
        <w:tc>
          <w:tcPr>
            <w:tcW w:w="20" w:type="dxa"/>
            <w:vAlign w:val="bottom"/>
          </w:tcPr>
          <w:p>
            <w:pPr>
              <w:spacing w:after="0"/>
              <w:rPr>
                <w:sz w:val="23"/>
                <w:szCs w:val="23"/>
                <w:color w:val="auto"/>
              </w:rPr>
            </w:pPr>
          </w:p>
        </w:tc>
        <w:tc>
          <w:tcPr>
            <w:tcW w:w="4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120,697</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4"/>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color w:val="auto"/>
              </w:rPr>
              <w:t>13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22,000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10,498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11,502</w:t>
            </w:r>
          </w:p>
        </w:tc>
        <w:tc>
          <w:tcPr>
            <w:tcW w:w="0" w:type="dxa"/>
            <w:vAlign w:val="bottom"/>
          </w:tcPr>
          <w:p>
            <w:pPr>
              <w:spacing w:after="0"/>
              <w:rPr>
                <w:sz w:val="1"/>
                <w:szCs w:val="1"/>
                <w:color w:val="auto"/>
              </w:rPr>
            </w:pPr>
          </w:p>
        </w:tc>
      </w:tr>
      <w:tr>
        <w:trPr>
          <w:trHeight w:val="267"/>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7 years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6,131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73"/>
        </w:trPr>
        <w:tc>
          <w:tcPr>
            <w:tcW w:w="3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3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6,328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5,356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67"/>
        </w:trPr>
        <w:tc>
          <w:tcPr>
            <w:tcW w:w="3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340" w:type="dxa"/>
            <w:vAlign w:val="bottom"/>
            <w:tcBorders>
              <w:bottom w:val="single" w:sz="8" w:color="CCEEFF"/>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3"/>
        </w:trPr>
        <w:tc>
          <w:tcPr>
            <w:tcW w:w="1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1,183,407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75,288</w:t>
            </w: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fifty-three weeks ended August 31, 2024, were primarily related to the OWYN Acquisition and recurring amortization expense. In conjunction with the Acquisition, the Company acquired a brand indefinite lived intangible asset and a customer relationship intangible asset, which had fair values of approximately $223.0 million and $20.5 million as of the date of the Acquisition, respectively. Changes related to the fifty-two weeks ended August 26, 2023, and August 27, 2022, were primarily related to recurring amortization expense.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third quarter of the fiscal year ended August 31, 2024, the Company conducted a qualitative impairment assessment that identified potential indicators of impairment for the Atkins brand indefinite lived intangible asset. Accordingly, the Company proceeded to conduct a quantitative impairment assessment over the asset. Based on our testing, the asset had an excess fair value well over its respective carrying value, resulting in no impairment. During the fifty-three weeks ended August 31, 2024, the Company performed qualitative impairment assessments for its indefinite-lived intangible assets as of the first day of the fourth quarter of fiscal year 2024. The qualitative assessment did not identify indicators of impairment, and it was determined that it was more likely than not each indefinite-lived intangible asset had fair values in excess of their carrying values. Accordingly, no further impairment assessments were necessary. There were no impairment charges related to indefinite-lived intangibles recognized in the fifty-three weeks ended August 31, 2024, August 26, 2023, or August 27, 2022, respectively.</w:t>
      </w:r>
    </w:p>
    <w:p>
      <w:pPr>
        <w:spacing w:after="0" w:line="219"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During the fifty-three weeks ended August 31, 2024, the Company did not identify indicators of impairment related to its finite-lived intangible assets, which are tested for impairment when events or circumstances indicated that the carrying amount may not be recoverable. There were no impairment charges related to the Company’s finite-lived intangible assets in the fifty-three weeks ended August 31, 2024, August 26, 2023, or August 27, 2022, respectively.</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$15.2 million for the fifty-three weeks ended August 31, 2024, $15.7 million for the fifty-two weeks ended August 26, 2023, and $15.8 million for the fifty-two weeks ended August 27, 2022.</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14,903</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14,903</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14,903</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64,494</w:t>
            </w:r>
          </w:p>
        </w:tc>
      </w:tr>
      <w:tr>
        <w:trPr>
          <w:trHeight w:val="25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139,027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4"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in the Consolidated Balance Sheets were comprised of the following:</w:t>
      </w:r>
    </w:p>
    <w:p>
      <w:pPr>
        <w:spacing w:after="0" w:line="326"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advertising allowances and claims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bonus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freight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payroll-related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commissions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VAT payable</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r>
      <w:tr>
        <w:trPr>
          <w:trHeight w:val="27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R&amp;D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6,527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49,791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35,062</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as of August 31, 2024, as compared to August 26, 2023, was primarily a result of the OWYN Acquisition.</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Long-Term Debt and Line of Credit</w:t>
      </w:r>
    </w:p>
    <w:p>
      <w:pPr>
        <w:spacing w:after="0" w:line="256"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with the consummation of the business combination which formed the Company between Conyers Park Acquisition Corp. and NCP-ATK Holdings, Inc. on July 7, 2017, the full $200.0 million of the Term Facility (the “Term Loan”) was drawn.</w:t>
      </w:r>
    </w:p>
    <w:p>
      <w:pPr>
        <w:spacing w:after="0" w:line="189"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2024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2.50% plus (x) 1.50% margin for the Term Loan or (y) 2.00% margin for the Revolving Credit Facility; or</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2024 Incremental Facility Amendment, the Company expensed $3.4 million of non-deferrable third-party costs through </w:t>
      </w:r>
      <w:r>
        <w:rPr>
          <w:rFonts w:ascii="Times New Roman" w:cs="Times New Roman" w:eastAsia="Times New Roman" w:hAnsi="Times New Roman"/>
          <w:sz w:val="18"/>
          <w:szCs w:val="18"/>
          <w:i w:val="1"/>
          <w:iCs w:val="1"/>
          <w:color w:val="auto"/>
        </w:rPr>
        <w:t>Business transaction costs</w:t>
      </w:r>
      <w:r>
        <w:rPr>
          <w:rFonts w:ascii="Times New Roman" w:cs="Times New Roman" w:eastAsia="Times New Roman" w:hAnsi="Times New Roman"/>
          <w:sz w:val="18"/>
          <w:szCs w:val="18"/>
          <w:color w:val="auto"/>
        </w:rPr>
        <w:t xml:space="preserve"> and capitalized $1.2 million of third-party financing costs.</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31, 2024, and August 26,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324" w:lineRule="exact"/>
        <w:rPr>
          <w:sz w:val="20"/>
          <w:szCs w:val="20"/>
          <w:color w:val="auto"/>
        </w:rPr>
      </w:pPr>
    </w:p>
    <w:tbl>
      <w:tblPr>
        <w:tblLayout w:type="fixed"/>
        <w:tblInd w:w="1800" w:type="dxa"/>
        <w:tblCellMar>
          <w:top w:w="0" w:type="dxa"/>
          <w:left w:w="0" w:type="dxa"/>
          <w:bottom w:w="0" w:type="dxa"/>
          <w:right w:w="0" w:type="dxa"/>
        </w:tblCellMar>
      </w:tblPr>
      <w:tr>
        <w:trPr>
          <w:trHeight w:val="24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0" w:type="dxa"/>
            <w:vAlign w:val="bottom"/>
          </w:tcPr>
          <w:p>
            <w:pPr>
              <w:spacing w:after="0"/>
              <w:rPr>
                <w:sz w:val="1"/>
                <w:szCs w:val="1"/>
                <w:color w:val="auto"/>
              </w:rPr>
            </w:pPr>
          </w:p>
        </w:tc>
      </w:tr>
      <w:tr>
        <w:trPr>
          <w:trHeight w:val="25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7.9% at August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0" w:type="dxa"/>
            <w:vAlign w:val="bottom"/>
          </w:tcPr>
          <w:p>
            <w:pPr>
              <w:spacing w:after="0"/>
              <w:rPr>
                <w:sz w:val="1"/>
                <w:szCs w:val="1"/>
                <w:color w:val="auto"/>
              </w:rPr>
            </w:pPr>
          </w:p>
        </w:tc>
      </w:tr>
      <w:tr>
        <w:trPr>
          <w:trHeight w:val="162"/>
        </w:trPr>
        <w:tc>
          <w:tcPr>
            <w:tcW w:w="45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0.0% at August 31,</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0" w:type="dxa"/>
            <w:vAlign w:val="bottom"/>
          </w:tcPr>
          <w:p>
            <w:pPr>
              <w:spacing w:after="0"/>
              <w:rPr>
                <w:sz w:val="1"/>
                <w:szCs w:val="1"/>
                <w:color w:val="auto"/>
              </w:rPr>
            </w:pPr>
          </w:p>
        </w:tc>
      </w:tr>
      <w:tr>
        <w:trPr>
          <w:trHeight w:val="25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281,792</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2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8"/>
          <w:szCs w:val="18"/>
          <w:color w:val="auto"/>
        </w:rPr>
        <w:t>As of August 31, 2024, the Company had letters of credit in the amount of $2.1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August 31, 2024.</w:t>
      </w:r>
    </w:p>
    <w:p>
      <w:pPr>
        <w:spacing w:after="0" w:line="203"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August 31, 2024. The outstanding balance of the Term Facility is due upon its maturity in March 2027.</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August 31, 2024, aggregate principal maturities of debt for each of the next five fiscal years and thereafter are as follows:</w:t>
      </w:r>
    </w:p>
    <w:p>
      <w:pPr>
        <w:spacing w:after="0" w:line="349" w:lineRule="exact"/>
        <w:rPr>
          <w:sz w:val="20"/>
          <w:szCs w:val="20"/>
          <w:color w:val="auto"/>
        </w:rPr>
      </w:pPr>
    </w:p>
    <w:tbl>
      <w:tblPr>
        <w:tblLayout w:type="fixed"/>
        <w:tblInd w:w="3080" w:type="dxa"/>
        <w:tblCellMar>
          <w:top w:w="0" w:type="dxa"/>
          <w:left w:w="0" w:type="dxa"/>
          <w:bottom w:w="0" w:type="dxa"/>
          <w:right w:w="0" w:type="dxa"/>
        </w:tblCellMar>
      </w:tblPr>
      <w:tr>
        <w:trPr>
          <w:trHeight w:val="215"/>
        </w:trPr>
        <w:tc>
          <w:tcPr>
            <w:tcW w:w="3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Principal maturities</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6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31, 2024, and August 26, 2023, the book value of the Company’s debt approximated fair value. The estimated fair value of the Term Loan is valued based on observable inputs and classified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Measurements</w:t>
      </w:r>
    </w:p>
    <w:p>
      <w:pPr>
        <w:spacing w:after="0" w:line="254" w:lineRule="exact"/>
        <w:rPr>
          <w:sz w:val="20"/>
          <w:szCs w:val="20"/>
          <w:color w:val="auto"/>
        </w:rPr>
      </w:pPr>
    </w:p>
    <w:p>
      <w:pPr>
        <w:jc w:val="both"/>
        <w:ind w:firstLine="210"/>
        <w:spacing w:after="0" w:line="256"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had outstanding liability-classified Private Warrants that allowed holders to purchase 6,700,000 shares of the Company’s common stock. Such Private Warrants were held by Conyers Park Sponsor, LLC (“Conyers Park”), a related party. On January 7, 2022, Conyers Park elected to exercise the Private Warrants in full on a cashless basis, resulting in a net issuance of 4,830,761 shares of the Company’s common stock. As a result of Conyers Park’s election to exercise the Private Warrants, there were no outstanding liability-classified Private Warrants as of August 31, 2024, August 26, 2023, or August 27, 2022. Refer to Note 12, Stockholders’ Equity, for additional details regarding the cashless exercise of the Private Warrants.</w:t>
      </w:r>
    </w:p>
    <w:p>
      <w:pPr>
        <w:spacing w:after="0" w:line="214"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pacing w:after="0" w:line="214" w:lineRule="exact"/>
        <w:rPr>
          <w:sz w:val="20"/>
          <w:szCs w:val="20"/>
          <w:color w:val="auto"/>
        </w:rPr>
      </w:pPr>
    </w:p>
    <w:p>
      <w:pPr>
        <w:jc w:val="both"/>
        <w:ind w:firstLine="277"/>
        <w:spacing w:after="0" w:line="261"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Consolidated Statements of Income and Comprehensive Income. The adjustments for the fifty-two weeks ended August 27, 2022, resulted in a loss of $30.1 million. As a result of the warrant exercise on January 7, 2022, there was no associated adjustment during the fifty-three weeks ended August 31, 2024, or the fifty-two weeks ended August 26, 2023.</w:t>
      </w:r>
    </w:p>
    <w:p>
      <w:pPr>
        <w:spacing w:after="0" w:line="209" w:lineRule="exact"/>
        <w:rPr>
          <w:sz w:val="20"/>
          <w:szCs w:val="20"/>
          <w:color w:val="auto"/>
        </w:rPr>
      </w:pPr>
    </w:p>
    <w:p>
      <w:pPr>
        <w:jc w:val="both"/>
        <w:ind w:firstLine="251"/>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during the fiscal years ended August 31, 2024, August 26, 2023, and August 27, 2022, respectively.</w:t>
      </w:r>
    </w:p>
    <w:p>
      <w:pPr>
        <w:spacing w:after="0" w:line="175"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Company’s non-financial assets, which consist primarily of property and equipment, right-of-use assets, goodwill, and other intangible assets, are not required to be carried at fair value on a recurring basis and are reported at carrying value. The fair values of these assets are determined, as required, based on Level 3 measurements, including estimates of the amount and timing of future cash flows based upon historical experience, expected market conditions, and management’s plans. All other components of the balance sheet such as accounts receivable, cash and cash equivalents, and others approximate fair value as of August 31, 2024.</w:t>
      </w:r>
    </w:p>
    <w:p>
      <w:pPr>
        <w:spacing w:after="0" w:line="221"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sources of income before income taxes are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173,733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148,080</w:t>
            </w:r>
          </w:p>
        </w:tc>
      </w:tr>
      <w:tr>
        <w:trPr>
          <w:trHeight w:val="267"/>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51"/>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186,050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175,692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150,569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 was comprised of the following:</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22,733</w:t>
            </w:r>
          </w:p>
        </w:tc>
      </w:tr>
      <w:tr>
        <w:trPr>
          <w:trHeight w:val="27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30,206</w:t>
            </w: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11,218</w:t>
            </w:r>
          </w:p>
        </w:tc>
      </w:tr>
      <w:tr>
        <w:trPr>
          <w:trHeight w:val="273"/>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w:t>
            </w:r>
          </w:p>
        </w:tc>
      </w:tr>
      <w:tr>
        <w:trPr>
          <w:trHeight w:val="22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tax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46,741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41,995</w:t>
            </w:r>
          </w:p>
        </w:tc>
      </w:tr>
      <w:tr>
        <w:trPr>
          <w:trHeight w:val="21"/>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is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53-Weeks Ended</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income tax expense: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income tax expense, net of federal</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on foreign income above the U.S. tax</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tax rate</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23"/>
                <w:szCs w:val="23"/>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Non-deductible transaction costs</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permanent items</w:t>
            </w: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5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at August 31, 2024, and August 26, 2023, were as follows:</w:t>
      </w:r>
    </w:p>
    <w:p>
      <w:pPr>
        <w:spacing w:after="0" w:line="234" w:lineRule="exact"/>
        <w:rPr>
          <w:sz w:val="20"/>
          <w:szCs w:val="20"/>
          <w:color w:val="auto"/>
        </w:rPr>
      </w:pPr>
    </w:p>
    <w:tbl>
      <w:tblPr>
        <w:tblLayout w:type="fixed"/>
        <w:tblInd w:w="2320" w:type="dxa"/>
        <w:tblCellMar>
          <w:top w:w="0" w:type="dxa"/>
          <w:left w:w="0" w:type="dxa"/>
          <w:bottom w:w="0" w:type="dxa"/>
          <w:right w:w="0" w:type="dxa"/>
        </w:tblCellMar>
      </w:tblPr>
      <w:tr>
        <w:trPr>
          <w:trHeight w:val="26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based compensation</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Capitalized Section 174 Expenditures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Tax capitalization of inventory costs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costs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Federal benefit of state taxes</w:t>
            </w:r>
          </w:p>
        </w:tc>
        <w:tc>
          <w:tcPr>
            <w:tcW w:w="14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70"/>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50"/>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27,931</w:t>
            </w:r>
          </w:p>
        </w:tc>
      </w:tr>
      <w:tr>
        <w:trPr>
          <w:trHeight w:val="27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47,923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27,931</w:t>
            </w:r>
          </w:p>
        </w:tc>
      </w:tr>
      <w:tr>
        <w:trPr>
          <w:trHeight w:val="273"/>
        </w:trPr>
        <w:tc>
          <w:tcPr>
            <w:tcW w:w="3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Excess tax over book depreciation</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r>
      <w:tr>
        <w:trPr>
          <w:trHeight w:val="267"/>
        </w:trPr>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(127,791)</w:t>
            </w:r>
          </w:p>
        </w:tc>
      </w:tr>
      <w:tr>
        <w:trPr>
          <w:trHeight w:val="273"/>
        </w:trPr>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right-of-use assets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r>
      <w:tr>
        <w:trPr>
          <w:trHeight w:val="267"/>
        </w:trPr>
        <w:tc>
          <w:tcPr>
            <w:tcW w:w="35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5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(144,064)</w:t>
            </w:r>
          </w:p>
        </w:tc>
      </w:tr>
      <w:tr>
        <w:trPr>
          <w:trHeight w:val="22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(116,133)</w:t>
            </w: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187"/>
        <w:spacing w:after="0" w:line="266" w:lineRule="auto"/>
        <w:rPr>
          <w:sz w:val="20"/>
          <w:szCs w:val="20"/>
          <w:color w:val="auto"/>
        </w:rPr>
      </w:pPr>
      <w:r>
        <w:rPr>
          <w:rFonts w:ascii="Times New Roman" w:cs="Times New Roman" w:eastAsia="Times New Roman" w:hAnsi="Times New Roman"/>
          <w:sz w:val="18"/>
          <w:szCs w:val="18"/>
          <w:color w:val="auto"/>
        </w:rPr>
        <w:t>The Company had federal net operating loss carryforwards of $63.0 million and $0.0 million, state net operating loss carryforwards of $44.2 million and $0.3 million, and foreign net operating loss carryforwards of $1.7 million and $0.0 million at August 31, 2024 and August 26, 2023, respectively. Federal net operating loss carryforwards will begin to expire in 2037 and the state net operating loss carryforwards will begin to expire in 2031.</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August 31, 2024, the Company has no valuation allowances on its deferred tax assets.</w:t>
      </w:r>
    </w:p>
    <w:p>
      <w:pPr>
        <w:spacing w:after="0" w:line="252"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As of August 31, 2024, the Company does not intend to indefinitely reinvest its foreign earnings within its subsidiary in Canada and has not recognized any tax liabilities related to this jurisdiction. It is the Company’s intention to reinvest the earnings of its other non-U.S. subsidiaries in its Australia and New Zealand operations. As of August 31, 2024,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August 31, 2024, and August 26, 2023, the Company has no unrecognized tax benefits.</w:t>
      </w:r>
    </w:p>
    <w:p>
      <w:pPr>
        <w:spacing w:after="0" w:line="252"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associated with unrecognized tax benefits as a component of tax expense. As of August 31, 2024, and August 26, 2023, the Company has not accrued any interest or penalties on unrecognized tax benefits, as there is no position recorded as of these fiscal year-ends. No changes to the uncertain tax position balance are anticipated within the next 12 months and are not expected to materially affect the financial statements.</w:t>
      </w:r>
    </w:p>
    <w:p>
      <w:pPr>
        <w:spacing w:after="0" w:line="207"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As of August 31, 2024, tax years 2017 to 2023 remain subject to examination in the United States by the Internal Revenue Service and state tax authorities and the tax years 2017 to 2023 remain subject to examination in other major foreign jurisdictions where the Company conducts business. State income tax returns are generally subject to examination for a period of three to six years after the filing of the respective return.</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future utilization of federal net operating loss carryforwards generated after 2017 is limited to 80% of taxable income. An additional limitation applies to the use of federal net operating loss and credit carryforwards, under Section 382 of the Internal Revenue Code of</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1986, as amended, that is applicable if the Company experiences an "ownership change”. The Company has experienced various “ownership changes” in prior years. With the OWYN Acquisition, an "ownership change" occurred in the current year. The resulting Section 382 limitations are not expected to materially affect the Company’s ability to utilize carryforwards. Future changes in the ownership of the Company could further limit the Company’s ability to utilize its net operating losses and credits.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announced Pillar Two Model Rules, which call for the taxation of large multinational corporations at a minimum rate of 15%. Many non-U.S. tax jurisdictions have either recently enacted legislation to adopt certain components of the Pillar Two Model Rules beginning in fiscal 2025 with the adoption of additional components in later years or announced their plans to enact legislation in future years. The currently enacted Pillar Two Model Rules are not expected to have a significant effect on the Company’s provision for income taxes. The Company continues to monitor developments and evaluate effects, if any, of these provisions on its results of operations and cash flows for future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51"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2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273"/>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 of Operations Caption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25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 xml:space="preserve">Cost of goods sold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General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0" w:type="dxa"/>
            <w:vAlign w:val="bottom"/>
          </w:tcPr>
          <w:p>
            <w:pPr>
              <w:spacing w:after="0"/>
              <w:rPr>
                <w:sz w:val="1"/>
                <w:szCs w:val="1"/>
                <w:color w:val="auto"/>
              </w:rPr>
            </w:pPr>
          </w:p>
        </w:tc>
      </w:tr>
      <w:tr>
        <w:trPr>
          <w:trHeight w:val="214"/>
        </w:trPr>
        <w:tc>
          <w:tcPr>
            <w:tcW w:w="2640" w:type="dxa"/>
            <w:vAlign w:val="bottom"/>
            <w:gridSpan w:val="2"/>
            <w:vMerge w:val="continue"/>
          </w:tcPr>
          <w:p>
            <w:pPr>
              <w:spacing w:after="0"/>
              <w:rPr>
                <w:sz w:val="18"/>
                <w:szCs w:val="18"/>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6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 xml:space="preserve">Cost of goods sold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General and</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216"/>
        </w:trPr>
        <w:tc>
          <w:tcPr>
            <w:tcW w:w="2640" w:type="dxa"/>
            <w:vAlign w:val="bottom"/>
            <w:gridSpan w:val="2"/>
            <w:vMerge w:val="continue"/>
            <w:shd w:val="clear" w:color="auto" w:fill="CCEEFF"/>
          </w:tcPr>
          <w:p>
            <w:pPr>
              <w:spacing w:after="0"/>
              <w:rPr>
                <w:sz w:val="18"/>
                <w:szCs w:val="18"/>
                <w:color w:val="auto"/>
              </w:rPr>
            </w:pP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0" w:type="dxa"/>
            <w:vAlign w:val="bottom"/>
          </w:tcPr>
          <w:p>
            <w:pPr>
              <w:spacing w:after="0"/>
              <w:rPr>
                <w:sz w:val="1"/>
                <w:szCs w:val="1"/>
                <w:color w:val="auto"/>
              </w:rPr>
            </w:pPr>
          </w:p>
        </w:tc>
      </w:tr>
      <w:tr>
        <w:trPr>
          <w:trHeight w:val="273"/>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 use assets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67"/>
        </w:trPr>
        <w:tc>
          <w:tcPr>
            <w:tcW w:w="2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53"/>
        </w:trPr>
        <w:tc>
          <w:tcPr>
            <w:tcW w:w="2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5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Variable lease cost primarily consists of common area maintenance, such as cleaning and repairs.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49"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40,022</w:t>
            </w:r>
          </w:p>
        </w:tc>
      </w:tr>
      <w:tr>
        <w:trPr>
          <w:trHeight w:val="2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r>
      <w:tr>
        <w:trPr>
          <w:trHeight w:val="226"/>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40,147</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7,566</w:t>
            </w:r>
          </w:p>
        </w:tc>
      </w:tr>
      <w:tr>
        <w:trPr>
          <w:trHeight w:val="273"/>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34,330</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37,272</w:t>
            </w:r>
          </w:p>
        </w:tc>
      </w:tr>
      <w:tr>
        <w:trPr>
          <w:trHeight w:val="22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44,981</w:t>
            </w: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August 31, 2024, were as follows:</w:t>
      </w:r>
    </w:p>
    <w:p>
      <w:pPr>
        <w:spacing w:after="0" w:line="349" w:lineRule="exact"/>
        <w:rPr>
          <w:sz w:val="20"/>
          <w:szCs w:val="20"/>
          <w:color w:val="auto"/>
        </w:rPr>
      </w:pPr>
    </w:p>
    <w:tbl>
      <w:tblPr>
        <w:tblLayout w:type="fixed"/>
        <w:tblInd w:w="2960" w:type="dxa"/>
        <w:tblCellMar>
          <w:top w:w="0" w:type="dxa"/>
          <w:left w:w="0" w:type="dxa"/>
          <w:bottom w:w="0" w:type="dxa"/>
          <w:right w:w="0" w:type="dxa"/>
        </w:tblCellMar>
      </w:tblPr>
      <w:tr>
        <w:trPr>
          <w:trHeight w:val="21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w:t>
            </w: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r>
      <w:tr>
        <w:trPr>
          <w:trHeight w:val="273"/>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r>
      <w:tr>
        <w:trPr>
          <w:trHeight w:val="267"/>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r>
      <w:tr>
        <w:trPr>
          <w:trHeight w:val="270"/>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w:t>
            </w:r>
          </w:p>
        </w:tc>
      </w:tr>
      <w:tr>
        <w:trPr>
          <w:trHeight w:val="250"/>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48,384</w:t>
            </w:r>
          </w:p>
        </w:tc>
      </w:tr>
      <w:tr>
        <w:trPr>
          <w:trHeight w:val="27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w:t>
            </w:r>
          </w:p>
        </w:tc>
      </w:tr>
      <w:tr>
        <w:trPr>
          <w:trHeight w:val="226"/>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39,824</w:t>
            </w: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August 31, 2024</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August 26, 2023</w:t>
            </w:r>
          </w:p>
        </w:tc>
        <w:tc>
          <w:tcPr>
            <w:tcW w:w="1400" w:type="dxa"/>
            <w:vAlign w:val="bottom"/>
          </w:tcPr>
          <w:p>
            <w:pPr>
              <w:spacing w:after="0"/>
              <w:rPr>
                <w:sz w:val="18"/>
                <w:szCs w:val="18"/>
                <w:color w:val="auto"/>
              </w:rPr>
            </w:pPr>
          </w:p>
        </w:tc>
      </w:tr>
      <w:tr>
        <w:trPr>
          <w:trHeight w:val="253"/>
        </w:trPr>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tcPr>
          <w:p>
            <w:pPr>
              <w:spacing w:after="0"/>
              <w:rPr>
                <w:sz w:val="22"/>
                <w:szCs w:val="22"/>
                <w:color w:val="auto"/>
              </w:rPr>
            </w:pPr>
          </w:p>
        </w:tc>
      </w:tr>
      <w:tr>
        <w:trPr>
          <w:trHeight w:val="267"/>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Pr>
          <w:p>
            <w:pPr>
              <w:spacing w:after="0"/>
              <w:rPr>
                <w:sz w:val="23"/>
                <w:szCs w:val="23"/>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6.24</w:t>
            </w:r>
          </w:p>
        </w:tc>
        <w:tc>
          <w:tcPr>
            <w:tcW w:w="1400" w:type="dxa"/>
            <w:vAlign w:val="bottom"/>
          </w:tcPr>
          <w:p>
            <w:pPr>
              <w:spacing w:after="0"/>
              <w:rPr>
                <w:sz w:val="23"/>
                <w:szCs w:val="23"/>
                <w:color w:val="auto"/>
              </w:rPr>
            </w:pPr>
          </w:p>
        </w:tc>
      </w:tr>
      <w:tr>
        <w:trPr>
          <w:trHeight w:val="273"/>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shd w:val="clear" w:color="auto" w:fill="CCEEFF"/>
          </w:tcPr>
          <w:p>
            <w:pPr>
              <w:spacing w:after="0"/>
              <w:rPr>
                <w:sz w:val="23"/>
                <w:szCs w:val="23"/>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0.61</w:t>
            </w:r>
          </w:p>
        </w:tc>
        <w:tc>
          <w:tcPr>
            <w:tcW w:w="1400" w:type="dxa"/>
            <w:vAlign w:val="bottom"/>
          </w:tcPr>
          <w:p>
            <w:pPr>
              <w:spacing w:after="0"/>
              <w:rPr>
                <w:sz w:val="23"/>
                <w:szCs w:val="23"/>
                <w:color w:val="auto"/>
              </w:rPr>
            </w:pPr>
          </w:p>
        </w:tc>
      </w:tr>
      <w:tr>
        <w:trPr>
          <w:trHeight w:val="267"/>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3"/>
        </w:trPr>
        <w:tc>
          <w:tcPr>
            <w:tcW w:w="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shd w:val="clear" w:color="auto" w:fill="CCEEFF"/>
          </w:tcPr>
          <w:p>
            <w:pPr>
              <w:spacing w:after="0"/>
              <w:rPr>
                <w:sz w:val="23"/>
                <w:szCs w:val="23"/>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60" w:type="dxa"/>
            <w:vAlign w:val="bottom"/>
            <w:shd w:val="clear" w:color="auto" w:fill="CCEEFF"/>
          </w:tcPr>
          <w:p>
            <w:pPr>
              <w:spacing w:after="0"/>
              <w:rPr>
                <w:sz w:val="23"/>
                <w:szCs w:val="23"/>
                <w:color w:val="auto"/>
              </w:rPr>
            </w:pPr>
          </w:p>
        </w:tc>
        <w:tc>
          <w:tcPr>
            <w:tcW w:w="1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1400" w:type="dxa"/>
            <w:vAlign w:val="bottom"/>
          </w:tcPr>
          <w:p>
            <w:pPr>
              <w:spacing w:after="0"/>
              <w:rPr>
                <w:sz w:val="23"/>
                <w:szCs w:val="23"/>
                <w:color w:val="auto"/>
              </w:rPr>
            </w:pPr>
          </w:p>
        </w:tc>
      </w:tr>
      <w:tr>
        <w:trPr>
          <w:trHeight w:val="264"/>
        </w:trPr>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5.6 %</w:t>
            </w:r>
          </w:p>
        </w:tc>
        <w:tc>
          <w:tcPr>
            <w:tcW w:w="1400" w:type="dxa"/>
            <w:vAlign w:val="bottom"/>
          </w:tcPr>
          <w:p>
            <w:pPr>
              <w:spacing w:after="0"/>
              <w:rPr>
                <w:sz w:val="22"/>
                <w:szCs w:val="22"/>
                <w:color w:val="auto"/>
              </w:rPr>
            </w:pPr>
          </w:p>
        </w:tc>
      </w:tr>
      <w:tr>
        <w:trPr>
          <w:trHeight w:val="54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80"/>
        </w:trPr>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53-Weeks Ended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52-Weeks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19"/>
        </w:trPr>
        <w:tc>
          <w:tcPr>
            <w:tcW w:w="740" w:type="dxa"/>
            <w:vAlign w:val="bottom"/>
          </w:tcPr>
          <w:p>
            <w:pPr>
              <w:spacing w:after="0"/>
              <w:rPr>
                <w:sz w:val="19"/>
                <w:szCs w:val="19"/>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31, 2024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August 26, 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159"/>
        </w:trPr>
        <w:tc>
          <w:tcPr>
            <w:tcW w:w="740" w:type="dxa"/>
            <w:vAlign w:val="bottom"/>
          </w:tcPr>
          <w:p>
            <w:pPr>
              <w:spacing w:after="0"/>
              <w:rPr>
                <w:sz w:val="13"/>
                <w:szCs w:val="13"/>
                <w:color w:val="auto"/>
              </w:rPr>
            </w:pPr>
          </w:p>
        </w:tc>
        <w:tc>
          <w:tcPr>
            <w:tcW w:w="4520" w:type="dxa"/>
            <w:vAlign w:val="bottom"/>
            <w:tcBorders>
              <w:top w:val="single" w:sz="8" w:color="auto"/>
            </w:tcBorders>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216"/>
        </w:trPr>
        <w:tc>
          <w:tcPr>
            <w:tcW w:w="740" w:type="dxa"/>
            <w:vAlign w:val="bottom"/>
          </w:tcPr>
          <w:p>
            <w:pPr>
              <w:spacing w:after="0"/>
              <w:rPr>
                <w:sz w:val="18"/>
                <w:szCs w:val="18"/>
                <w:color w:val="auto"/>
              </w:rPr>
            </w:pPr>
          </w:p>
        </w:tc>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67"/>
        </w:trPr>
        <w:tc>
          <w:tcPr>
            <w:tcW w:w="7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40" w:type="dxa"/>
            <w:vAlign w:val="bottom"/>
          </w:tcPr>
          <w:p>
            <w:pPr>
              <w:spacing w:after="0"/>
              <w:rPr>
                <w:sz w:val="23"/>
                <w:szCs w:val="23"/>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9,656</w:t>
            </w:r>
          </w:p>
        </w:tc>
      </w:tr>
      <w:tr>
        <w:trPr>
          <w:trHeight w:val="273"/>
        </w:trPr>
        <w:tc>
          <w:tcPr>
            <w:tcW w:w="740" w:type="dxa"/>
            <w:vAlign w:val="bottom"/>
          </w:tcPr>
          <w:p>
            <w:pPr>
              <w:spacing w:after="0"/>
              <w:rPr>
                <w:sz w:val="23"/>
                <w:szCs w:val="23"/>
                <w:color w:val="auto"/>
              </w:rPr>
            </w:pPr>
          </w:p>
        </w:tc>
        <w:tc>
          <w:tcPr>
            <w:tcW w:w="4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4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631</w:t>
            </w:r>
          </w:p>
        </w:tc>
      </w:tr>
      <w:tr>
        <w:trPr>
          <w:trHeight w:val="264"/>
        </w:trPr>
        <w:tc>
          <w:tcPr>
            <w:tcW w:w="7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22"/>
                <w:szCs w:val="22"/>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222"/>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August 31, 2024, the Company will be required to make payments of $1.2 million over the next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210"/>
        <w:spacing w:after="0" w:line="258" w:lineRule="auto"/>
        <w:rPr>
          <w:sz w:val="20"/>
          <w:szCs w:val="20"/>
          <w:color w:val="auto"/>
        </w:rPr>
      </w:pPr>
      <w:r>
        <w:rPr>
          <w:rFonts w:ascii="Times New Roman" w:cs="Times New Roman" w:eastAsia="Times New Roman" w:hAnsi="Times New Roman"/>
          <w:sz w:val="18"/>
          <w:szCs w:val="18"/>
          <w:color w:val="auto"/>
        </w:rPr>
        <w:t>During the fifty-two weeks ended August 27, 2022,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in full on a cashless basis, resulting in a net issuance of 4,830,761 shares of the Company’s common stock. As a result of the cashless exercise on January 7, 2022, there were no outstanding liability-classified Private Warrants as of August 31, 2024, or August 26, 2023.</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8,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including the cashless exercise and the settlement of the warrant liability, have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Consolidated Statements of Income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fifty-three weeks ended August 31, 2024. During the fifty-two weeks ended August 26, 2023, the Company repurchased 546,346 shares of common stock at an average share price of $30.11 per share. During the fifty-two weeks ended August 27, 2022, the Company repurchased 1,720,520 shares of common stock at an average share price of $34.79 per share. As of August 31, 2024, approximately $71.5 million remained available under the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56" w:lineRule="exact"/>
        <w:rPr>
          <w:sz w:val="20"/>
          <w:szCs w:val="20"/>
          <w:color w:val="auto"/>
        </w:rPr>
      </w:pPr>
    </w:p>
    <w:p>
      <w:pPr>
        <w:jc w:val="both"/>
        <w:ind w:firstLine="186"/>
        <w:spacing w:after="0" w:line="266" w:lineRule="auto"/>
        <w:rPr>
          <w:sz w:val="20"/>
          <w:szCs w:val="20"/>
          <w:color w:val="auto"/>
        </w:rPr>
      </w:pPr>
      <w:r>
        <w:rPr>
          <w:rFonts w:ascii="Times New Roman" w:cs="Times New Roman" w:eastAsia="Times New Roman" w:hAnsi="Times New Roman"/>
          <w:sz w:val="18"/>
          <w:szCs w:val="18"/>
          <w:color w:val="auto"/>
        </w:rPr>
        <w:t xml:space="preserve">During the fifty-two weeks ended August 27, 2022, the Company recognized a foreign currency translation gain of $1.1 million related to the liquidation of a foreign subsidiary. The gain is reflected as a component of </w:t>
      </w: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Gain (loss) on foreign currency transactions</w:t>
      </w:r>
      <w:r>
        <w:rPr>
          <w:rFonts w:ascii="Times New Roman" w:cs="Times New Roman" w:eastAsia="Times New Roman" w:hAnsi="Times New Roman"/>
          <w:sz w:val="18"/>
          <w:szCs w:val="18"/>
          <w:color w:val="auto"/>
        </w:rPr>
        <w:t xml:space="preserve"> within the Consolidated Statements of Income and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21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81"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c>
          <w:tcPr>
            <w:tcW w:w="0" w:type="dxa"/>
            <w:vAlign w:val="bottom"/>
          </w:tcPr>
          <w:p>
            <w:pPr>
              <w:spacing w:after="0"/>
              <w:rPr>
                <w:sz w:val="1"/>
                <w:szCs w:val="1"/>
                <w:color w:val="auto"/>
              </w:rPr>
            </w:pPr>
          </w:p>
        </w:tc>
      </w:tr>
      <w:tr>
        <w:trPr>
          <w:trHeight w:val="300"/>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25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Net income available to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133,575</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99,929,196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99,442,046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98,754,913</w:t>
            </w:r>
          </w:p>
        </w:tc>
        <w:tc>
          <w:tcPr>
            <w:tcW w:w="0" w:type="dxa"/>
            <w:vAlign w:val="bottom"/>
          </w:tcPr>
          <w:p>
            <w:pPr>
              <w:spacing w:after="0"/>
              <w:rPr>
                <w:sz w:val="1"/>
                <w:szCs w:val="1"/>
                <w:color w:val="auto"/>
              </w:rPr>
            </w:pPr>
          </w:p>
        </w:tc>
      </w:tr>
      <w:tr>
        <w:trPr>
          <w:trHeight w:val="213"/>
        </w:trPr>
        <w:tc>
          <w:tcPr>
            <w:tcW w:w="3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133,575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108,574</w:t>
            </w:r>
          </w:p>
        </w:tc>
        <w:tc>
          <w:tcPr>
            <w:tcW w:w="0" w:type="dxa"/>
            <w:vAlign w:val="bottom"/>
          </w:tcPr>
          <w:p>
            <w:pPr>
              <w:spacing w:after="0"/>
              <w:rPr>
                <w:sz w:val="1"/>
                <w:szCs w:val="1"/>
                <w:color w:val="auto"/>
              </w:rPr>
            </w:pPr>
          </w:p>
        </w:tc>
      </w:tr>
      <w:tr>
        <w:trPr>
          <w:trHeight w:val="247"/>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90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99,929,196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99,442,046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98,754,913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Employee stock options</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1,112,459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1,241,762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1,578,329</w:t>
            </w:r>
          </w:p>
        </w:tc>
        <w:tc>
          <w:tcPr>
            <w:tcW w:w="0" w:type="dxa"/>
            <w:vAlign w:val="bottom"/>
          </w:tcPr>
          <w:p>
            <w:pPr>
              <w:spacing w:after="0"/>
              <w:rPr>
                <w:sz w:val="1"/>
                <w:szCs w:val="1"/>
                <w:color w:val="auto"/>
              </w:rPr>
            </w:pPr>
          </w:p>
        </w:tc>
      </w:tr>
      <w:tr>
        <w:trPr>
          <w:trHeight w:val="273"/>
        </w:trPr>
        <w:tc>
          <w:tcPr>
            <w:tcW w:w="3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Non-vested stock units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196,271</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255,914</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101,281,888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100,880,079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100,589,156</w:t>
            </w:r>
          </w:p>
        </w:tc>
        <w:tc>
          <w:tcPr>
            <w:tcW w:w="0" w:type="dxa"/>
            <w:vAlign w:val="bottom"/>
          </w:tcPr>
          <w:p>
            <w:pPr>
              <w:spacing w:after="0"/>
              <w:rPr>
                <w:sz w:val="1"/>
                <w:szCs w:val="1"/>
                <w:color w:val="auto"/>
              </w:rPr>
            </w:pPr>
          </w:p>
        </w:tc>
      </w:tr>
      <w:tr>
        <w:trPr>
          <w:trHeight w:val="251"/>
        </w:trPr>
        <w:tc>
          <w:tcPr>
            <w:tcW w:w="3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36"/>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fifty-two weeks ended August 27, 2022, excluded 0.7 million shares issuable upon exercise of Private Warrants, respectively, that would have been anti-dilutive.</w:t>
      </w:r>
    </w:p>
    <w:p>
      <w:pPr>
        <w:spacing w:after="0" w:line="189"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fifty-three weeks ended August 31, 2024, and the fifty-two weeks ended August 26, 2023, and August 27, 2022, excluded 0.8 million shares, 0.6 million shares, and 0.3 million shares of common stock issuable upon exercise of stock options, respectively, that would have been anti-dilutive.</w:t>
      </w:r>
    </w:p>
    <w:p>
      <w:pPr>
        <w:spacing w:after="0" w:line="203"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fifty-three weeks ended August 31, 2024, and the fifty-two weeks ended August 26, 2023, and August 27, 2022, excluded an immaterial number of non-vested restricted stock units that would have been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Omnibus Incentive Plan</w:t>
      </w:r>
    </w:p>
    <w:p>
      <w:pPr>
        <w:spacing w:after="0" w:line="25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its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the recipient’s other compensation is reported.</w:t>
      </w:r>
    </w:p>
    <w:p>
      <w:pPr>
        <w:spacing w:after="0" w:line="207"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For the fifty-three weeks ended August 31, 2024, and the fifty-two weeks ended August 26, 2023, and August 27, 2022, the Company recorded stock-based compensation expense of $18.4 million, $14.5 million, and $11.7 million, respectively.</w:t>
      </w:r>
    </w:p>
    <w:p>
      <w:pPr>
        <w:spacing w:after="0" w:line="189" w:lineRule="exact"/>
        <w:rPr>
          <w:sz w:val="20"/>
          <w:szCs w:val="20"/>
          <w:color w:val="auto"/>
        </w:rPr>
      </w:pPr>
    </w:p>
    <w:p>
      <w:pPr>
        <w:jc w:val="both"/>
        <w:ind w:firstLine="279"/>
        <w:spacing w:after="0" w:line="266" w:lineRule="auto"/>
        <w:rPr>
          <w:sz w:val="20"/>
          <w:szCs w:val="20"/>
          <w:color w:val="auto"/>
        </w:rPr>
      </w:pPr>
      <w:r>
        <w:rPr>
          <w:rFonts w:ascii="Times New Roman" w:cs="Times New Roman" w:eastAsia="Times New Roman" w:hAnsi="Times New Roman"/>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31, 2024, there were 3.0 million shares available for grant under the Incentive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ind w:firstLine="241"/>
        <w:spacing w:after="0" w:line="266" w:lineRule="auto"/>
        <w:rPr>
          <w:sz w:val="20"/>
          <w:szCs w:val="20"/>
          <w:color w:val="auto"/>
        </w:rPr>
      </w:pPr>
      <w:r>
        <w:rPr>
          <w:rFonts w:ascii="Times New Roman" w:cs="Times New Roman" w:eastAsia="Times New Roman" w:hAnsi="Times New Roman"/>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fifty-three weeks ended August 31, 2024:</w:t>
      </w:r>
    </w:p>
    <w:p>
      <w:pPr>
        <w:spacing w:after="0" w:line="37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00" w:type="dxa"/>
            <w:vAlign w:val="bottom"/>
          </w:tcPr>
          <w:p>
            <w:pPr>
              <w:spacing w:after="0"/>
              <w:rPr>
                <w:sz w:val="16"/>
                <w:szCs w:val="16"/>
                <w:color w:val="auto"/>
              </w:rPr>
            </w:pP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Aggregate intrinsic</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40" w:type="dxa"/>
            <w:vAlign w:val="bottom"/>
            <w:vMerge w:val="restart"/>
          </w:tcPr>
          <w:p>
            <w:pPr>
              <w:spacing w:after="0"/>
              <w:rPr>
                <w:sz w:val="14"/>
                <w:szCs w:val="14"/>
                <w:color w:val="auto"/>
              </w:rPr>
            </w:pPr>
          </w:p>
        </w:tc>
        <w:tc>
          <w:tcPr>
            <w:tcW w:w="1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remaining life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39,610</w:t>
            </w: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(256,879)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(18,649)</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39.50</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29,826</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29,826</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August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2,131,180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29,826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August 31, 2024:</w:t>
      </w:r>
    </w:p>
    <w:p>
      <w:pPr>
        <w:spacing w:after="0" w:line="200" w:lineRule="exact"/>
        <w:rPr>
          <w:sz w:val="20"/>
          <w:szCs w:val="20"/>
          <w:color w:val="auto"/>
        </w:rPr>
      </w:pP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20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Range of Exercise Prices</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Number outstanding</w:t>
            </w:r>
          </w:p>
        </w:tc>
        <w:tc>
          <w:tcPr>
            <w:tcW w:w="1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Number exercisable</w:t>
            </w:r>
          </w:p>
        </w:tc>
        <w:tc>
          <w:tcPr>
            <w:tcW w:w="10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exercise 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remaining life (years)</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exercise price</w:t>
            </w:r>
          </w:p>
        </w:tc>
        <w:tc>
          <w:tcPr>
            <w:tcW w:w="0" w:type="dxa"/>
            <w:vAlign w:val="bottom"/>
          </w:tcPr>
          <w:p>
            <w:pPr>
              <w:spacing w:after="0"/>
              <w:rPr>
                <w:sz w:val="1"/>
                <w:szCs w:val="1"/>
                <w:color w:val="auto"/>
              </w:rPr>
            </w:pPr>
          </w:p>
        </w:tc>
      </w:tr>
      <w:tr>
        <w:trPr>
          <w:trHeight w:val="253"/>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17.77</w:t>
            </w:r>
          </w:p>
        </w:tc>
        <w:tc>
          <w:tcPr>
            <w:tcW w:w="1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1,266,743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4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1,266,743</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23.55</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387,810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387,810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73"/>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29.33</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158,044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158,044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24.38</w:t>
            </w:r>
          </w:p>
        </w:tc>
        <w:tc>
          <w:tcPr>
            <w:tcW w:w="0" w:type="dxa"/>
            <w:vAlign w:val="bottom"/>
          </w:tcPr>
          <w:p>
            <w:pPr>
              <w:spacing w:after="0"/>
              <w:rPr>
                <w:sz w:val="1"/>
                <w:szCs w:val="1"/>
                <w:color w:val="auto"/>
              </w:rPr>
            </w:pPr>
          </w:p>
        </w:tc>
      </w:t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35.11</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40.88</w:t>
            </w:r>
          </w:p>
        </w:tc>
        <w:tc>
          <w:tcPr>
            <w:tcW w:w="14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580,337</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318,583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37.87</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2,131,180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187"/>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fifty-three weeks ended August 31, 2024, and the fifty-two weeks ended August 26, 2023, and August 27, 2022, were $14.36, $16.58, and $15.32, respectively.</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based on the following assumptions: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53-Weeks Ended</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20" w:type="dxa"/>
            <w:vAlign w:val="bottom"/>
          </w:tcPr>
          <w:p>
            <w:pPr>
              <w:spacing w:after="0"/>
              <w:rPr>
                <w:sz w:val="23"/>
                <w:szCs w:val="23"/>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August 31, 2024</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26, 2023</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37.00%</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39.00%</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37.07%</w:t>
            </w:r>
          </w:p>
        </w:tc>
      </w:tr>
      <w:tr>
        <w:trPr>
          <w:trHeight w:val="267"/>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option term</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64"/>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1.26%</w:t>
            </w:r>
          </w:p>
        </w:tc>
      </w:tr>
    </w:tbl>
    <w:p>
      <w:pPr>
        <w:spacing w:after="0" w:line="325"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As the Company has now been listed for more than five years for the years presented above, which is broadly consistent with the expected term of the options, the Company has based its Black-Scholes valuation model’s expected volatility assumption on the actual volatility of its daily closing share price over the period since listing to the valuation date. The risk-free rates are based on the implied yield available on U.S. Treasury zero-coupon issues with an equivalent remaining term. Future annual dividends over the expected term are estimated to be nil.</w:t>
      </w:r>
    </w:p>
    <w:p>
      <w:pPr>
        <w:spacing w:after="0" w:line="207" w:lineRule="exact"/>
        <w:rPr>
          <w:sz w:val="20"/>
          <w:szCs w:val="20"/>
          <w:color w:val="auto"/>
        </w:rPr>
      </w:pPr>
    </w:p>
    <w:p>
      <w:pPr>
        <w:jc w:val="both"/>
        <w:ind w:firstLine="178"/>
        <w:spacing w:after="0" w:line="266" w:lineRule="auto"/>
        <w:rPr>
          <w:sz w:val="20"/>
          <w:szCs w:val="20"/>
          <w:color w:val="auto"/>
        </w:rPr>
      </w:pPr>
      <w:r>
        <w:rPr>
          <w:rFonts w:ascii="Times New Roman" w:cs="Times New Roman" w:eastAsia="Times New Roman" w:hAnsi="Times New Roman"/>
          <w:sz w:val="18"/>
          <w:szCs w:val="18"/>
          <w:color w:val="auto"/>
        </w:rPr>
        <w:t>As of August 31, 2024, the Company had $2.3 million of total unrecognized compensation cost related to stock option plans that will be recognized over a weighted average period of 1.4 years. During the fifty-three weeks ended August 31, 2024, and fifty-two weeks ended August 26, 2023, and August 27, 2022, the Company received $4.3 million, $5.2 million, and $4.3 million in cash from stock option exercises,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fifty-three weeks ended August 31, 2024:</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(272,485)</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(32,925)</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As of August 31, 2024, the Company had $11.8 million of total unrecognized compensation cost related to restricted stock units that will be recognized over a weighted average period of 1.6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54" w:lineRule="exact"/>
        <w:rPr>
          <w:sz w:val="20"/>
          <w:szCs w:val="20"/>
          <w:color w:val="auto"/>
        </w:rPr>
      </w:pPr>
    </w:p>
    <w:p>
      <w:pPr>
        <w:jc w:val="both"/>
        <w:ind w:firstLine="210"/>
        <w:spacing w:after="0" w:line="255" w:lineRule="auto"/>
        <w:rPr>
          <w:sz w:val="20"/>
          <w:szCs w:val="20"/>
          <w:color w:val="auto"/>
        </w:rPr>
      </w:pPr>
      <w:r>
        <w:rPr>
          <w:rFonts w:ascii="Times New Roman" w:cs="Times New Roman" w:eastAsia="Times New Roman" w:hAnsi="Times New Roman"/>
          <w:sz w:val="18"/>
          <w:szCs w:val="18"/>
          <w:color w:val="auto"/>
        </w:rPr>
        <w:t>During the fifty-three weeks ended August 31, 2024, the Board of Directors granted performance stock units under the Company’s Incentive Plan. The number of shares issuable as a result of grants of performance stock units is determined based on the performance criteria of the Company’s relative total shareholder return, or relative TSR, measured for the Company and each company in the Russell 3000 Food &amp; Beverage index using the immediately preceding 30-day average share price at the beginning and end of the applicable three-year performance period. The percentile rank of the Company’s TSR within the peer group determines the percent of the target award earned, ranging between 0% and 200%. The related compensation expense is recognized regardless of whether or not the market condition is satisfied, provided the requisite service is rendered. Performance stock units were valued using a Monte-Carlo simulation.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fifty-three weeks ended August 31, 2024:</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(189,884)</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is estimated on the date of grant using a Monte-Carlo simulation based on the following assumptions presented below which are associated with each year’s annual grant:</w:t>
      </w:r>
    </w:p>
    <w:p>
      <w:pPr>
        <w:spacing w:after="0" w:line="306"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53-Weeks Ended</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c>
          <w:tcPr>
            <w:tcW w:w="1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3"/>
        </w:trPr>
        <w:tc>
          <w:tcPr>
            <w:tcW w:w="3340" w:type="dxa"/>
            <w:vAlign w:val="bottom"/>
          </w:tcPr>
          <w:p>
            <w:pPr>
              <w:spacing w:after="0"/>
              <w:rPr>
                <w:sz w:val="23"/>
                <w:szCs w:val="2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August 31, 2024</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August 26, 2023</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33.96%</w:t>
            </w: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45.00%</w:t>
            </w:r>
          </w:p>
        </w:tc>
        <w:tc>
          <w:tcPr>
            <w:tcW w:w="14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43.00%</w:t>
            </w:r>
          </w:p>
        </w:tc>
      </w:tr>
      <w:tr>
        <w:trPr>
          <w:trHeight w:val="26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6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4.55%</w:t>
            </w:r>
          </w:p>
        </w:tc>
        <w:tc>
          <w:tcPr>
            <w:tcW w:w="14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0.70%</w:t>
            </w:r>
          </w:p>
        </w:tc>
      </w:tr>
      <w:tr>
        <w:trPr>
          <w:trHeight w:val="27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$57.43</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$62.55</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$63.42</w:t>
            </w:r>
          </w:p>
        </w:tc>
      </w:tr>
    </w:tbl>
    <w:p>
      <w:pPr>
        <w:spacing w:after="0" w:line="319" w:lineRule="exact"/>
        <w:rPr>
          <w:sz w:val="20"/>
          <w:szCs w:val="20"/>
          <w:color w:val="auto"/>
        </w:rPr>
      </w:pPr>
    </w:p>
    <w:p>
      <w:pPr>
        <w:jc w:val="both"/>
        <w:ind w:firstLine="170"/>
        <w:spacing w:after="0" w:line="282" w:lineRule="auto"/>
        <w:rPr>
          <w:sz w:val="20"/>
          <w:szCs w:val="20"/>
          <w:color w:val="auto"/>
        </w:rPr>
      </w:pPr>
      <w:r>
        <w:rPr>
          <w:rFonts w:ascii="Times New Roman" w:cs="Times New Roman" w:eastAsia="Times New Roman" w:hAnsi="Times New Roman"/>
          <w:sz w:val="18"/>
          <w:szCs w:val="18"/>
          <w:color w:val="auto"/>
        </w:rPr>
        <w:t>As of August 31, 2024, the Company had $4.3 million of total unrecognized compensation cost related to performance stock units that will be recognized over a weighted average period of 1.4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54"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if and when the applicable vesting criteria has been met. SARs cliff vest three years from the date of grant and must be exercised within ten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fifty-three weeks ended August 31, 2024:</w:t>
      </w:r>
    </w:p>
    <w:p>
      <w:pPr>
        <w:spacing w:after="0" w:line="248"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 (in</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August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SARs exercised in the fifty-two weeks ended August 26, 2023, resulted in a net issuance of 38,850 shares of the Company’s common stock. The SARs granted in the fifty-two weeks ended August 26, 2023, are liability-classified; therefore, the related stock-based compensation expense is based on the vesting provisions and the fair value of the awards.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Customer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Following the OWYN Acquisition, the Company's operations are organized into two operating segments, Quest and Atkins, and OWYN,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Company also designed its organizational structure to support entity-wide business functions across brands, products, customers, and geographic regions. As a result, during the fifty-three weeks ended August 31, 2024, the Company determined its operations are organized into two operating segments, which were aggregated into one reporting segment due to similar financial, economic and operating characteristics. During the fifty-two weeks ended August 26, 2023, and August 27, 2022, the Company determined its operations are organized into one, consolidated operating segment and reportable segment.</w:t>
      </w:r>
    </w:p>
    <w:p>
      <w:pPr>
        <w:spacing w:after="0" w:line="211"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Reconciliation of the totals of reported segment revenue, profit or loss measurement, assets and other significant items reported by segment to the corresponding GAAP totals is not applicable to the Company as it only has one reportable segment. Additionally, revenue from transactions with external customers for each of Simply Good Foods’ products would be impracticable to disclose and management does not view its business by product line. The following is a summary of revenue disaggregated by geographic area and brand:</w:t>
      </w:r>
    </w:p>
    <w:p>
      <w:pPr>
        <w:spacing w:after="0" w:line="279" w:lineRule="exact"/>
        <w:rPr>
          <w:sz w:val="20"/>
          <w:szCs w:val="20"/>
          <w:color w:val="auto"/>
        </w:rPr>
      </w:pPr>
    </w:p>
    <w:tbl>
      <w:tblPr>
        <w:tblLayout w:type="fixed"/>
        <w:tblInd w:w="15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53-Weeks Ended</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52-Weeks Ended</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52-Weeks Ended</w:t>
            </w:r>
          </w:p>
        </w:tc>
      </w:tr>
      <w:tr>
        <w:trPr>
          <w:trHeight w:val="30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491,986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526,769</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540,328</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777,394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682,789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593,943</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OWYN</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4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North America</w:t>
            </w: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1,298,593</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1,209,558</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1,134,271</w:t>
            </w:r>
          </w:p>
        </w:tc>
      </w:tr>
      <w:tr>
        <w:trPr>
          <w:trHeight w:val="270"/>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International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32,728</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33,114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34,407</w:t>
            </w:r>
          </w:p>
        </w:tc>
      </w:tr>
      <w:tr>
        <w:trPr>
          <w:trHeight w:val="248"/>
        </w:trPr>
        <w:tc>
          <w:tcPr>
            <w:tcW w:w="3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1,331,321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1,242,672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1,168,678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580" w:right="1820" w:hanging="8"/>
        <w:spacing w:after="0" w:line="226" w:lineRule="auto"/>
        <w:tabs>
          <w:tab w:leader="none" w:pos="1743"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summary of long lived assets by geographic area:</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lived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0"/>
        </w:trPr>
        <w:tc>
          <w:tcPr>
            <w:tcW w:w="35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24,830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24,861</w:t>
            </w:r>
          </w:p>
        </w:tc>
      </w:tr>
      <w:tr>
        <w:trPr>
          <w:trHeight w:val="248"/>
        </w:trPr>
        <w:tc>
          <w:tcPr>
            <w:tcW w:w="3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320" w:right="2340" w:firstLine="8"/>
        <w:spacing w:after="0" w:line="243" w:lineRule="auto"/>
        <w:tabs>
          <w:tab w:leader="none" w:pos="2469"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jc w:val="both"/>
        <w:ind w:firstLine="228"/>
        <w:spacing w:after="0" w:line="282" w:lineRule="auto"/>
        <w:rPr>
          <w:sz w:val="20"/>
          <w:szCs w:val="20"/>
          <w:color w:val="auto"/>
        </w:rPr>
      </w:pPr>
      <w:r>
        <w:rPr>
          <w:rFonts w:ascii="Times New Roman" w:cs="Times New Roman" w:eastAsia="Times New Roman" w:hAnsi="Times New Roman"/>
          <w:sz w:val="18"/>
          <w:szCs w:val="18"/>
          <w:color w:val="auto"/>
        </w:rPr>
        <w:t>Credit risk for the Company was concentrated in three customers who each comprised more than 10% of the Company’s total sales for the fifty-three weeks ended August 31, 2024, and fifty-two weeks ended August 26, 2023, and August 27, 2022.</w:t>
      </w:r>
    </w:p>
    <w:p>
      <w:pPr>
        <w:spacing w:after="0" w:line="261" w:lineRule="exact"/>
        <w:rPr>
          <w:sz w:val="20"/>
          <w:szCs w:val="20"/>
          <w:color w:val="auto"/>
        </w:rPr>
      </w:pPr>
    </w:p>
    <w:tbl>
      <w:tblPr>
        <w:tblLayout w:type="fixed"/>
        <w:tblInd w:w="232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53-Weeks Ended</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52-Weeks Ended</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52-Weeks Ended</w:t>
            </w:r>
          </w:p>
        </w:tc>
      </w:tr>
      <w:tr>
        <w:trPr>
          <w:trHeight w:val="270"/>
        </w:trPr>
        <w:tc>
          <w:tcPr>
            <w:tcW w:w="1980" w:type="dxa"/>
            <w:vAlign w:val="bottom"/>
          </w:tcPr>
          <w:p>
            <w:pPr>
              <w:spacing w:after="0"/>
              <w:rPr>
                <w:sz w:val="23"/>
                <w:szCs w:val="23"/>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31, 2024</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26, 2023</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33"/>
        </w:trPr>
        <w:tc>
          <w:tcPr>
            <w:tcW w:w="1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6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7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3</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ind w:left="2340"/>
        <w:spacing w:after="0"/>
        <w:rPr>
          <w:sz w:val="20"/>
          <w:szCs w:val="20"/>
          <w:color w:val="auto"/>
        </w:rPr>
      </w:pPr>
      <w:r>
        <w:rPr>
          <w:rFonts w:ascii="Times New Roman" w:cs="Times New Roman" w:eastAsia="Times New Roman" w:hAnsi="Times New Roman"/>
          <w:sz w:val="16"/>
          <w:szCs w:val="16"/>
          <w:color w:val="auto"/>
        </w:rPr>
        <w:t>n/a - Not applicable as the customer was not significant during these fiscal years.</w:t>
      </w:r>
    </w:p>
    <w:p>
      <w:pPr>
        <w:spacing w:after="0" w:line="33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August 31, 2024, and August 26, 2023, the following amounts of the Company’s accounts receivable, net were related to these significant customers for the periods in which the customers were significant:</w:t>
      </w:r>
    </w:p>
    <w:p>
      <w:pPr>
        <w:spacing w:after="0" w:line="261" w:lineRule="exact"/>
        <w:rPr>
          <w:sz w:val="20"/>
          <w:szCs w:val="20"/>
          <w:color w:val="auto"/>
        </w:rPr>
      </w:pPr>
    </w:p>
    <w:tbl>
      <w:tblPr>
        <w:tblLayout w:type="fixed"/>
        <w:tblInd w:w="2820" w:type="dxa"/>
        <w:tblCellMar>
          <w:top w:w="0" w:type="dxa"/>
          <w:left w:w="0" w:type="dxa"/>
          <w:bottom w:w="0" w:type="dxa"/>
          <w:right w:w="0" w:type="dxa"/>
        </w:tblCellMar>
      </w:tblPr>
      <w:tr>
        <w:trPr>
          <w:trHeight w:val="240"/>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August 31, 2024</w:t>
            </w: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August 26, 2023</w:t>
            </w:r>
          </w:p>
        </w:tc>
        <w:tc>
          <w:tcPr>
            <w:tcW w:w="380" w:type="dxa"/>
            <w:vAlign w:val="bottom"/>
            <w:tcBorders>
              <w:bottom w:val="single" w:sz="8" w:color="auto"/>
            </w:tcBorders>
          </w:tcPr>
          <w:p>
            <w:pPr>
              <w:spacing w:after="0"/>
              <w:rPr>
                <w:sz w:val="20"/>
                <w:szCs w:val="20"/>
                <w:color w:val="auto"/>
              </w:rPr>
            </w:pPr>
          </w:p>
        </w:tc>
      </w:tr>
      <w:tr>
        <w:trPr>
          <w:trHeight w:val="25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41,943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28 %</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43,098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6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51,411</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34 %</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37,384</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Quest Acquisition.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218"/>
        <w:spacing w:after="0" w:line="261" w:lineRule="auto"/>
        <w:rPr>
          <w:sz w:val="20"/>
          <w:szCs w:val="20"/>
          <w:color w:val="auto"/>
        </w:rPr>
      </w:pPr>
      <w:r>
        <w:rPr>
          <w:rFonts w:ascii="Times New Roman" w:cs="Times New Roman" w:eastAsia="Times New Roman" w:hAnsi="Times New Roman"/>
          <w:sz w:val="18"/>
          <w:szCs w:val="18"/>
          <w:color w:val="auto"/>
        </w:rPr>
        <w:t>The Company substantially completed the aforementioned restructuring activities during the fifty-two weeks ended August 27, 2022. During the fifty-two weeks ended August 27, 2022, the Company incurred $0.1 million of restructuring charges which included an immaterial gain on lease termination related to its lease in the Netherlands. Since the announcement of the restructuring activities in May 2020, the Company incurred aggregate restructuring and restructuring-related costs of $9.9 million.</w:t>
      </w:r>
    </w:p>
    <w:p>
      <w:pPr>
        <w:spacing w:after="0" w:line="207" w:lineRule="exact"/>
        <w:rPr>
          <w:sz w:val="20"/>
          <w:szCs w:val="20"/>
          <w:color w:val="auto"/>
        </w:rPr>
      </w:pPr>
    </w:p>
    <w:p>
      <w:pPr>
        <w:jc w:val="both"/>
        <w:ind w:firstLine="219"/>
        <w:spacing w:after="0" w:line="256" w:lineRule="auto"/>
        <w:rPr>
          <w:sz w:val="20"/>
          <w:szCs w:val="20"/>
          <w:color w:val="auto"/>
        </w:rPr>
      </w:pPr>
      <w:r>
        <w:rPr>
          <w:rFonts w:ascii="Times New Roman" w:cs="Times New Roman" w:eastAsia="Times New Roman" w:hAnsi="Times New Roman"/>
          <w:sz w:val="18"/>
          <w:szCs w:val="18"/>
          <w:color w:val="auto"/>
        </w:rPr>
        <w:t xml:space="preserve">The one-time termination benefits and employee severance costs incurred in relation to these restructuring activities were accounted for in accordance with ASC Topic 420, Exit or Disposal Cost Obligations, and ASC Topic 712, Compensation - Nonretirement Post-employment Benefits, respectively. The Company recognized a liability and the related expense for these restructuring costs when the liability was incurred and could be measured. Restructuring accruals were based upon management estimates at the time and could change depending upon changes in facts and circumstances subsequent to the date the original liability was recorded. The effect of these restructuring activities was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Income and Comprehensive Income.</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restructuring and restructuring-related costs were incurred in the fifty-three weeks ended August 31, 2024, or the fifty-two weeks ended August 26, 2023.</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31, 2024, the Company’s disclosure controls and procedures were effective.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on June 13, 2024, we completed the OWYN Acquisition. As such, the scope of our assessment of the effectiveness of our disclosure controls and procedures did not include the internal control over financial reporting of OWYN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OWYN and its affiliated entities accounted for 14% of our total assets and 2% of our total net sales as of and for the fifty-three weeks ended August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229"/>
        <w:spacing w:after="0" w:line="256"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31, 2024.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31, 2024.</w:t>
      </w:r>
    </w:p>
    <w:p>
      <w:pPr>
        <w:spacing w:after="0" w:line="214"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ind w:firstLine="27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August 31, 2024, was audited by Deloitte &amp; Touche LLP, our independent registered public accounting firm, as stated in their report appearing below, which expressed an unqualified opinion on the effectiveness of our internal control over financial reporting as of August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OWYN Acquisition, we have commenced a project to evaluate the processes and procedures of OWYN’s internal control over financial reporting and incorporate OWYN’s internal control over financial reporting into our internal control over financial reporting framework. In addition, as a result of the OWYN Acquisition, we have implemented new processes and controls over accounting for an acquisition, including determining the fair value of the assets acquired and liabilities assumed.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 over financial reporting during the quarter ended August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Simply Good Foods Company and subsidiaries (the “Company”) as of August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August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fifty-three weeks ended August 31, 2024, of the Company and our report dated October 29, 2024, expressed an unqualified opinion on those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Only What You Need Inc. (“OWYN”), which was acquired on June 13, 2024, and whose financial statements constitute 14% of total assets and 2% of net sales of the consolidated financial statement amounts as of and for the fifty-three weeks ended August 31, 2024. Accordingly, our audit did not include the internal control over financial reporting at OWYN.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firstLine="190"/>
        <w:spacing w:after="0" w:line="282" w:lineRule="auto"/>
        <w:rPr>
          <w:sz w:val="20"/>
          <w:szCs w:val="20"/>
          <w:color w:val="auto"/>
        </w:rPr>
      </w:pPr>
      <w:r>
        <w:rPr>
          <w:rFonts w:ascii="Times New Roman" w:cs="Times New Roman" w:eastAsia="Times New Roman" w:hAnsi="Times New Roman"/>
          <w:sz w:val="18"/>
          <w:szCs w:val="18"/>
          <w:color w:val="auto"/>
        </w:rPr>
        <w:t>In the quarter ended August 31, 2024, no directors or officers adopted or terminated a “Rule 10b5-1 trading arrangement” or a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2025 Annual Meeting of Stockholders to be filed no later than 120 days after the end of the fiscal year ended August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2025 Annual Meeting of Stockholders to be filed no later than 120 days after the end of the fiscal year ended August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2025 Annual Meeting of Stockholders to be filed no later than 120 days after the end of the fiscal year ended August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Incorporated herein by reference to our definitive proxy statement for our 2025 Annual Meeting of Stockholders to be filed no later than 120 days after the end of the fiscal year ended August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8"/>
          <w:szCs w:val="18"/>
          <w:color w:val="auto"/>
        </w:rPr>
        <w:t>Information about aggregate fees billed to us by our principal accountant, Deloitte &amp; Touche LLP (PCAOB ID No. 34) will be presented under the caption “Audit Committee Matters - Principal Accounting Firm Fees” in our definitive proxy statement for our 2025 Annual Meeting of Stockholders to be filed no later than 120 days after the end of the fiscal year ended August 31, 2024 and is incorporated herein by reference.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56" w:lineRule="exact"/>
        <w:rPr>
          <w:sz w:val="20"/>
          <w:szCs w:val="20"/>
          <w:color w:val="auto"/>
        </w:rPr>
      </w:pPr>
    </w:p>
    <w:p>
      <w:pPr>
        <w:jc w:val="both"/>
        <w:ind w:firstLine="195"/>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1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9"/>
                <w:szCs w:val="19"/>
                <w:color w:val="auto"/>
              </w:rPr>
            </w:pPr>
          </w:p>
        </w:tc>
        <w:tc>
          <w:tcPr>
            <w:tcW w:w="10420" w:type="dxa"/>
            <w:vAlign w:val="bottom"/>
            <w:gridSpan w:val="45"/>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5"/>
        </w:trPr>
        <w:tc>
          <w:tcPr>
            <w:tcW w:w="220" w:type="dxa"/>
            <w:vAlign w:val="bottom"/>
            <w:tcBorders>
              <w:top w:val="single" w:sz="8" w:color="auto"/>
            </w:tcBorders>
            <w:gridSpan w:val="2"/>
            <w:shd w:val="clear" w:color="auto" w:fill="CCEEFF"/>
          </w:tcPr>
          <w:p>
            <w:pPr>
              <w:ind w:left="20"/>
              <w:spacing w:after="0" w:line="175" w:lineRule="exact"/>
              <w:rPr>
                <w:rFonts w:ascii="Times New Roman" w:cs="Times New Roman" w:eastAsia="Times New Roman" w:hAnsi="Times New Roman"/>
                <w:sz w:val="16"/>
                <w:szCs w:val="16"/>
                <w:color w:val="0000FF"/>
                <w:w w:val="89"/>
              </w:rPr>
            </w:pPr>
            <w:hyperlink r:id="rId107">
              <w:r>
                <w:rPr>
                  <w:rFonts w:ascii="Times New Roman" w:cs="Times New Roman" w:eastAsia="Times New Roman" w:hAnsi="Times New Roman"/>
                  <w:sz w:val="16"/>
                  <w:szCs w:val="16"/>
                  <w:color w:val="0000FF"/>
                  <w:w w:val="89"/>
                </w:rPr>
                <w:t>2.</w:t>
              </w:r>
              <w:r>
                <w:rPr>
                  <w:rFonts w:ascii="Times New Roman" w:cs="Times New Roman" w:eastAsia="Times New Roman" w:hAnsi="Times New Roman"/>
                  <w:sz w:val="16"/>
                  <w:szCs w:val="16"/>
                  <w:u w:val="single" w:color="auto"/>
                  <w:color w:val="0000FF"/>
                  <w:w w:val="89"/>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420" w:type="dxa"/>
            <w:vAlign w:val="bottom"/>
            <w:tcBorders>
              <w:top w:val="single" w:sz="8" w:color="auto"/>
            </w:tcBorders>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Stock Purchase Agreement, dated as of April 29, 2024, by and among Simply Good Foods USA, Inc., a New York corporation, Only What You Need,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8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Inc., a Delaware corporation, and Safe Brands, LLC, a Delaware limited liability company (incorporated by reference to Exhibit 2.1 to our Current Report</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on Form 8-K filed on April 30,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gridSpan w:val="2"/>
          </w:tcPr>
          <w:p>
            <w:pPr>
              <w:ind w:left="20"/>
              <w:spacing w:after="0" w:line="175" w:lineRule="exact"/>
              <w:rPr>
                <w:rFonts w:ascii="Times New Roman" w:cs="Times New Roman" w:eastAsia="Times New Roman" w:hAnsi="Times New Roman"/>
                <w:sz w:val="16"/>
                <w:szCs w:val="16"/>
                <w:color w:val="0000FF"/>
                <w:w w:val="89"/>
              </w:rPr>
            </w:pPr>
            <w:hyperlink r:id="rId108">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Fourth Amended and Restated Certificate of Incorporation of The Simply Good Foods Company (incorporated by reference to Exhibit 3.1 to our Current</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20" w:type="dxa"/>
            <w:vAlign w:val="bottom"/>
            <w:tcBorders>
              <w:top w:val="single" w:sz="8" w:color="0000FF"/>
            </w:tcBorders>
            <w:gridSpan w:val="40"/>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Report on Form 8-K/A filed on January 24,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20" w:type="dxa"/>
            <w:vAlign w:val="bottom"/>
            <w:gridSpan w:val="2"/>
            <w:shd w:val="clear" w:color="auto" w:fill="CCEEFF"/>
          </w:tcPr>
          <w:p>
            <w:pPr>
              <w:ind w:left="20"/>
              <w:spacing w:after="0" w:line="175" w:lineRule="exact"/>
              <w:rPr>
                <w:rFonts w:ascii="Times New Roman" w:cs="Times New Roman" w:eastAsia="Times New Roman" w:hAnsi="Times New Roman"/>
                <w:sz w:val="16"/>
                <w:szCs w:val="16"/>
                <w:color w:val="0000FF"/>
                <w:w w:val="89"/>
              </w:rPr>
            </w:pPr>
            <w:hyperlink r:id="rId109">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2</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Third Amended and Restated Bylaws of the Simply Good Foods Company (incorporated by reference to Exhibit 3.1 to our Current Report on Form 8-K</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0000FF"/>
            </w:tcBorders>
            <w:gridSpan w:val="41"/>
            <w:shd w:val="clear" w:color="auto" w:fill="CCEEFF"/>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filed on July 19, 2023).</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20" w:type="dxa"/>
            <w:vAlign w:val="bottom"/>
            <w:gridSpan w:val="2"/>
          </w:tcPr>
          <w:p>
            <w:pPr>
              <w:ind w:left="20"/>
              <w:spacing w:after="0" w:line="175" w:lineRule="exact"/>
              <w:rPr>
                <w:rFonts w:ascii="Times New Roman" w:cs="Times New Roman" w:eastAsia="Times New Roman" w:hAnsi="Times New Roman"/>
                <w:sz w:val="16"/>
                <w:szCs w:val="16"/>
                <w:color w:val="0000FF"/>
                <w:w w:val="89"/>
              </w:rPr>
            </w:pPr>
            <w:hyperlink r:id="rId110">
              <w:r>
                <w:rPr>
                  <w:rFonts w:ascii="Times New Roman" w:cs="Times New Roman" w:eastAsia="Times New Roman" w:hAnsi="Times New Roman"/>
                  <w:sz w:val="16"/>
                  <w:szCs w:val="16"/>
                  <w:color w:val="0000FF"/>
                  <w:w w:val="89"/>
                </w:rPr>
                <w:t>4.</w:t>
              </w:r>
              <w:r>
                <w:rPr>
                  <w:rFonts w:ascii="Times New Roman" w:cs="Times New Roman" w:eastAsia="Times New Roman" w:hAnsi="Times New Roman"/>
                  <w:sz w:val="16"/>
                  <w:szCs w:val="16"/>
                  <w:u w:val="single" w:color="auto"/>
                  <w:color w:val="0000FF"/>
                  <w:w w:val="89"/>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Form of Common Stock Certificate (incorporated by reference to Exhibit 4.1 to Amendment No. 3 to our Registration Statement on Form S-4 filed on</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June 12,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89"/>
              </w:rPr>
              <w:t>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0" w:type="dxa"/>
            <w:vAlign w:val="bottom"/>
            <w:gridSpan w:val="3"/>
          </w:tcPr>
          <w:p>
            <w:pPr>
              <w:ind w:left="20"/>
              <w:spacing w:after="0" w:line="175" w:lineRule="exact"/>
              <w:rPr>
                <w:rFonts w:ascii="Times New Roman" w:cs="Times New Roman" w:eastAsia="Times New Roman" w:hAnsi="Times New Roman"/>
                <w:sz w:val="16"/>
                <w:szCs w:val="16"/>
                <w:color w:val="0000FF"/>
                <w:w w:val="92"/>
              </w:rPr>
            </w:pPr>
            <w:hyperlink r:id="rId111">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Investor Rights Agreement, dated July 7, 2017, between The Simply Good Foods Company and Conyers Park Sponsor LLC (incorporated by reference to</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Exhibit 10.3 to our Current Report on Form 8-K filed on July 13,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40" w:type="dxa"/>
            <w:vAlign w:val="bottom"/>
            <w:gridSpan w:val="7"/>
            <w:shd w:val="clear" w:color="auto" w:fill="CCEEFF"/>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2017 Omnibus Incentive Plan (incorporated by reference to Exhibit 10.3 to Amendment No. 3 to Registration Statement on Form S-4 filed on June 12,</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2017).</w:t>
              </w:r>
            </w:hyperlink>
          </w:p>
        </w:tc>
        <w:tc>
          <w:tcPr>
            <w:tcW w:w="34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5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2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7"/>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2017 Omnibus Incentive Plan, as amended from time to time Policy Regarding Treatment of Awards in the Event of an Awardee’s Retirement</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20" w:type="dxa"/>
            <w:vAlign w:val="bottom"/>
            <w:tcBorders>
              <w:top w:val="single" w:sz="8" w:color="0000FF"/>
            </w:tcBorders>
            <w:gridSpan w:val="40"/>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(incorporated by reference to Exhibit 10.2 to our Current Report on Form 8-K filed on April 22,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40" w:type="dxa"/>
            <w:vAlign w:val="bottom"/>
            <w:gridSpan w:val="7"/>
            <w:shd w:val="clear" w:color="auto" w:fill="CCEEFF"/>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hyperlink>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Indemnity Agreement (incorporated by reference to Exhibit 10.8 to Amendment No. 3 to our Registration Statement on Form S-4 filed on June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4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w w:val="94"/>
              </w:rPr>
            </w:pPr>
            <w:hyperlink r:id="rId114">
              <w:r>
                <w:rPr>
                  <w:rFonts w:ascii="Times New Roman" w:cs="Times New Roman" w:eastAsia="Times New Roman" w:hAnsi="Times New Roman"/>
                  <w:sz w:val="16"/>
                  <w:szCs w:val="16"/>
                  <w:color w:val="0000FF"/>
                  <w:w w:val="94"/>
                </w:rPr>
                <w:t>12, 2017).</w:t>
              </w:r>
            </w:hyperlink>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8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74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64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50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82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40" w:type="dxa"/>
            <w:vAlign w:val="bottom"/>
            <w:gridSpan w:val="7"/>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5†</w:t>
              </w:r>
            </w:hyperlink>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The Simply Good Foods Company Second Amended and Restated Executive Severance Compensation Plan, dated April 16, 2024 (incorporated by</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reference to Exhibit 10.1 to our Current Report on Form 8-K filed on April 22,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w w:val="92"/>
              </w:rPr>
            </w:pPr>
            <w:hyperlink r:id="rId115">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6</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Credit Agreement, dated July 7, 2017, among Atkins Intermediate Holdings, LLC, Conyers Park Parent Merger Sub, Inc., Conyers Park Acquisition</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0240" w:type="dxa"/>
            <w:vAlign w:val="bottom"/>
            <w:tcBorders>
              <w:top w:val="single" w:sz="8" w:color="0000FF"/>
              <w:bottom w:val="single" w:sz="8" w:color="0000FF"/>
            </w:tcBorders>
            <w:gridSpan w:val="36"/>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Corp., Conyers Park Merger Sub 1, Inc., Conyers Park Merger Sub 2, Inc., Conyers Park Merger Sub 3, Inc., Conyers Park Merger Sub 4, Inc., NCP-ATK</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280" w:type="dxa"/>
            <w:vAlign w:val="bottom"/>
            <w:tcBorders>
              <w:bottom w:val="single" w:sz="8" w:color="0000FF"/>
            </w:tcBorders>
            <w:gridSpan w:val="38"/>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Holdings, Inc., Atkins Nutritionals Holdings, Inc., Atkins Nutritional Holdings II, Inc., Atkins Nutritionals, Inc., the lenders party thereto and Barclays</w:t>
              </w:r>
            </w:hyperlink>
          </w:p>
        </w:tc>
        <w:tc>
          <w:tcPr>
            <w:tcW w:w="20" w:type="dxa"/>
            <w:vAlign w:val="bottom"/>
            <w:tcBorders>
              <w:bottom w:val="single" w:sz="8" w:color="0000FF"/>
            </w:tcBorders>
            <w:shd w:val="clear" w:color="auto" w:fill="CCEEFF"/>
          </w:tcPr>
          <w:p>
            <w:pPr>
              <w:spacing w:after="0"/>
              <w:rPr>
                <w:sz w:val="12"/>
                <w:szCs w:val="12"/>
                <w:color w:val="auto"/>
              </w:rPr>
            </w:pPr>
          </w:p>
        </w:tc>
        <w:tc>
          <w:tcPr>
            <w:tcW w:w="60" w:type="dxa"/>
            <w:vAlign w:val="bottom"/>
            <w:tcBorders>
              <w:bottom w:val="single" w:sz="8" w:color="0000FF"/>
            </w:tcBorders>
            <w:gridSpan w:val="3"/>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360" w:type="dxa"/>
            <w:vAlign w:val="bottom"/>
            <w:gridSpan w:val="42"/>
            <w:shd w:val="clear" w:color="auto" w:fill="CCEEFF"/>
          </w:tcPr>
          <w:p>
            <w:pPr>
              <w:spacing w:after="0" w:line="14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Bank PLC, as the administrative agent (incorporated by reference to Exhibit 10.1 to our Current Report on Form 8-K filed on July 13, 2017).</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0" w:type="dxa"/>
            <w:vAlign w:val="bottom"/>
            <w:gridSpan w:val="3"/>
          </w:tcPr>
          <w:p>
            <w:pPr>
              <w:ind w:left="20"/>
              <w:spacing w:after="0" w:line="175" w:lineRule="exact"/>
              <w:rPr>
                <w:rFonts w:ascii="Times New Roman" w:cs="Times New Roman" w:eastAsia="Times New Roman" w:hAnsi="Times New Roman"/>
                <w:sz w:val="16"/>
                <w:szCs w:val="16"/>
                <w:color w:val="0000FF"/>
                <w:w w:val="92"/>
              </w:rPr>
            </w:pPr>
            <w:hyperlink r:id="rId116">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Repricing Amendment, dated March 16, 2018, among Atkins Intermediate Holdings, LLC, Conyers Park Acquisition Corp., Atkins Nutritionals, Inc.,</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Atkins Nutritionals Holdings, Inc., Atkins Nutritionals Holdings II, Inc. NCP-ATK Holdings, Inc. and Barclays Bank PLC (incorporated by reference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Exhibit 10.1 to our Current Report on Form 8-K filed on March 20,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00" w:type="dxa"/>
            <w:vAlign w:val="bottom"/>
            <w:gridSpan w:val="3"/>
            <w:shd w:val="clear" w:color="auto" w:fill="CCEEFF"/>
          </w:tcPr>
          <w:p>
            <w:pPr>
              <w:ind w:left="20"/>
              <w:spacing w:after="0" w:line="175" w:lineRule="exact"/>
              <w:rPr>
                <w:rFonts w:ascii="Times New Roman" w:cs="Times New Roman" w:eastAsia="Times New Roman" w:hAnsi="Times New Roman"/>
                <w:sz w:val="16"/>
                <w:szCs w:val="16"/>
                <w:color w:val="0000FF"/>
                <w:w w:val="92"/>
              </w:rPr>
            </w:pPr>
            <w:hyperlink r:id="rId117">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8</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Amendment No. 2 (Incremental Facility Amendment), dated November 7, 2019, among Atkins Intermediate Holdings, LLC, Conyers Park Acquisition</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0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Corp., Atkins Nutritionals, Inc., Atkins Nutritionals Holdings, Inc., Atkins Nutritionals Holdings II, Inc., NCP-ATK Holdings, Inc., the financial</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120" w:type="dxa"/>
            <w:vAlign w:val="bottom"/>
            <w:tcBorders>
              <w:top w:val="single" w:sz="8" w:color="0000FF"/>
              <w:bottom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institutions set forth on Schedule A thereto as Additional Term Lenders and acknowledged by Barclays Bank PLC, as administrative agent (incorporated</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0" w:type="dxa"/>
            <w:vAlign w:val="bottom"/>
            <w:gridSpan w:val="44"/>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by reference to Exhibit 10.1 of our Current Report on Form 8-K filed on November 7, 2019).</w:t>
              </w:r>
            </w:hyperlink>
          </w:p>
        </w:tc>
        <w:tc>
          <w:tcPr>
            <w:tcW w:w="2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0" w:type="dxa"/>
            <w:vAlign w:val="bottom"/>
            <w:gridSpan w:val="3"/>
          </w:tcPr>
          <w:p>
            <w:pPr>
              <w:ind w:left="20"/>
              <w:spacing w:after="0" w:line="175" w:lineRule="exact"/>
              <w:rPr>
                <w:rFonts w:ascii="Times New Roman" w:cs="Times New Roman" w:eastAsia="Times New Roman" w:hAnsi="Times New Roman"/>
                <w:sz w:val="16"/>
                <w:szCs w:val="16"/>
                <w:color w:val="0000FF"/>
                <w:w w:val="92"/>
              </w:rPr>
            </w:pPr>
            <w:hyperlink r:id="rId118">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Extension Amendment, dated December 16, 2021, among Atkins Intermediate Holdings, LLC, Conyers Park Acquisition Corp., Simply Good Foods</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60" w:type="dxa"/>
            <w:vAlign w:val="bottom"/>
            <w:tcBorders>
              <w:top w:val="single" w:sz="8" w:color="0000FF"/>
            </w:tcBorders>
            <w:gridSpan w:val="42"/>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USA, Inc., Atkins Nutritionals Holdings, Inc., Atkins Nutritionals Holdings II, Inc., NCP-ATK Holdings, Inc., the financial institutions party thereto, and</w:t>
              </w:r>
            </w:hyperlink>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Barclays Bank PLC, as administrative agent (incorporated by reference to Exhibit 10.1 to our Current Report on Form 8-K filed on December 22, 2021).</w:t>
              </w:r>
            </w:hyperlink>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40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10</w:t>
              </w:r>
            </w:hyperlink>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Repricing Amendment, dated January 21, 2022, among Atkins Intermediate Holdings, LLC, Conyers Park Acquisition Corp., Simply Good Foods USA,</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Inc., Atkins Nutritionals Holdings, Inc., Atkins Nutritionals Holdings II, Inc., NCP-ATK Holdings, Inc., the other guarantors party thereto, the financial</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60" w:type="dxa"/>
            <w:vAlign w:val="bottom"/>
            <w:tcBorders>
              <w:top w:val="single" w:sz="8" w:color="0000FF"/>
            </w:tcBorders>
            <w:gridSpan w:val="42"/>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institutions party thereto and Barclays Bank PLC, as administrative agent (incorporated by reference to Exhibit 10.1 to our Current Report on Form 8-K</w:t>
              </w:r>
            </w:hyperlink>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0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filed on January 25, 2022).</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5"/>
          </w:tcPr>
          <w:p>
            <w:pPr>
              <w:ind w:left="20"/>
              <w:spacing w:after="0" w:line="175"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11</w:t>
              </w:r>
            </w:hyperlink>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Repricing Amendment, dated April 25, 2023, among Atkins Intermediate Holdings, LLC, Conyers Park Acquisition Corp., Simply Good Foods USA,</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Inc., Atkins Nutritionals Holdings, Inc., Atkins Nutritionals Holdings II, Inc., NCP-ATK Holdings, Inc., and Barclays Bank PLC, as Administrative Agent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and Replacement Lender (incorporated by reference to Exhibit 10.1 to our Current Report on Form 8-K filed on April 27, 2023).</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0" w:type="dxa"/>
            <w:vAlign w:val="bottom"/>
            <w:gridSpan w:val="5"/>
            <w:shd w:val="clear" w:color="auto" w:fill="CCEEFF"/>
          </w:tcPr>
          <w:p>
            <w:pPr>
              <w:ind w:left="20"/>
              <w:spacing w:after="0" w:line="175"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12</w:t>
              </w:r>
            </w:hyperlink>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Amendment No. 6 (Incremental Facility Amendment), dated as of June 13, 2024, among Atkins Intermediate Holdings, LLC, a Delaware limited liability</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8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company, Conyers Park Acquisition Corp., a Delaware corporation, Simply Good Foods USA, Inc., a Delaware corporation, Atkins Nutritionals Holdings,</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160" w:type="dxa"/>
            <w:vAlign w:val="bottom"/>
            <w:tcBorders>
              <w:top w:val="single" w:sz="8" w:color="0000FF"/>
              <w:bottom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Inc., a Delaware corporation, Atkins Nutritionals Holdings II, Inc., a Delaware corporation, NCP-ATK Holdings, Inc., a Delaware corporation, the lenders</w:t>
              </w:r>
            </w:hyperlink>
          </w:p>
        </w:tc>
        <w:tc>
          <w:tcPr>
            <w:tcW w:w="140" w:type="dxa"/>
            <w:vAlign w:val="bottom"/>
            <w:tcBorders>
              <w:top w:val="single" w:sz="8" w:color="CCEEFF"/>
              <w:bottom w:val="single" w:sz="8" w:color="0000FF"/>
            </w:tcBorders>
            <w:gridSpan w:val="7"/>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300" w:type="dxa"/>
            <w:vAlign w:val="bottom"/>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party thereto and Barclays Bank PLC, as administrative agent (incorporated by reference to Exhibit 2.1 to our Current Report on Form 8-K filed on June</w:t>
              </w:r>
            </w:hyperlink>
          </w:p>
        </w:tc>
        <w:tc>
          <w:tcPr>
            <w:tcW w:w="120" w:type="dxa"/>
            <w:vAlign w:val="bottom"/>
            <w:gridSpan w:val="6"/>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17, 2024).</w:t>
              </w:r>
            </w:hyperlink>
          </w:p>
        </w:tc>
        <w:tc>
          <w:tcPr>
            <w:tcW w:w="5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3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5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82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7"/>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13†</w:t>
              </w:r>
            </w:hyperlink>
          </w:p>
        </w:tc>
        <w:tc>
          <w:tcPr>
            <w:tcW w:w="20" w:type="dxa"/>
            <w:vAlign w:val="bottom"/>
          </w:tcPr>
          <w:p>
            <w:pPr>
              <w:spacing w:after="0"/>
              <w:rPr>
                <w:sz w:val="15"/>
                <w:szCs w:val="15"/>
                <w:color w:val="auto"/>
              </w:rPr>
            </w:pPr>
          </w:p>
        </w:tc>
        <w:tc>
          <w:tcPr>
            <w:tcW w:w="10420" w:type="dxa"/>
            <w:vAlign w:val="bottom"/>
            <w:gridSpan w:val="45"/>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Transition Agreement, dated January 27, 2023, between The Simply Good Foods Company and Joseph E. Scalzo (incorporated by reference to Exhibit</w:t>
              </w:r>
            </w:hyperlink>
          </w:p>
        </w:tc>
      </w:tr>
      <w:tr>
        <w:trPr>
          <w:trHeight w:val="142"/>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FF"/>
                </w:rPr>
                <w:t xml:space="preserve"> to our Current Report on Form 8-K filed on January 30, 2023).</w:t>
              </w:r>
            </w:hyperlink>
          </w:p>
        </w:tc>
        <w:tc>
          <w:tcPr>
            <w:tcW w:w="280" w:type="dxa"/>
            <w:vAlign w:val="bottom"/>
            <w:gridSpan w:val="14"/>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19.1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The Simply Good Foods Company Insider Trading Policy</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The Simply Good Foods Company.</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23.1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31.2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32.1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92"/>
              </w:rPr>
              <w:t>97.1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The Simply Good Foods Company Rule 10D-1 Incentive Compensation Recovery Policy</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62"/>
        </w:trPr>
        <w:tc>
          <w:tcPr>
            <w:tcW w:w="1020" w:type="dxa"/>
            <w:vAlign w:val="bottom"/>
            <w:tcBorders>
              <w:top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4"/>
                <w:szCs w:val="14"/>
                <w:color w:val="auto"/>
              </w:rPr>
            </w:pPr>
          </w:p>
        </w:tc>
        <w:tc>
          <w:tcPr>
            <w:tcW w:w="10080" w:type="dxa"/>
            <w:vAlign w:val="bottom"/>
            <w:tcBorders>
              <w:top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3"/>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0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1180" w:hanging="1154"/>
        <w:spacing w:after="0"/>
        <w:tabs>
          <w:tab w:leader="none" w:pos="11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____________________</w:t>
      </w:r>
    </w:p>
    <w:p>
      <w:pPr>
        <w:spacing w:after="0" w:line="139" w:lineRule="exact"/>
        <w:rPr>
          <w:sz w:val="20"/>
          <w:szCs w:val="20"/>
          <w:color w:val="auto"/>
        </w:rPr>
      </w:pPr>
    </w:p>
    <w:p>
      <w:pPr>
        <w:ind w:left="360" w:hanging="334"/>
        <w:spacing w:after="0"/>
        <w:tabs>
          <w:tab w:leader="none" w:pos="3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00" w:lineRule="exact"/>
        <w:rPr>
          <w:sz w:val="20"/>
          <w:szCs w:val="20"/>
          <w:color w:val="auto"/>
        </w:rPr>
      </w:pPr>
    </w:p>
    <w:p>
      <w:pPr>
        <w:spacing w:after="0" w:line="239"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By: /s/ Geoff E. Tanner</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w:t>
            </w:r>
          </w:p>
        </w:tc>
        <w:tc>
          <w:tcPr>
            <w:tcW w:w="19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October 29, 2024</w:t>
            </w:r>
          </w:p>
        </w:tc>
        <w:tc>
          <w:tcPr>
            <w:tcW w:w="11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5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Name: Geoff E. Tanner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Title: President, Chief Executive Officer and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4" w:right="459" w:bottom="1440" w:gutter="0" w:footer="0" w:header="0"/>
        </w:sectPr>
      </w:pPr>
    </w:p>
    <w:bookmarkStart w:id="88" w:name="page89"/>
    <w:bookmarkEnd w:id="88"/>
    <w:p>
      <w:pPr>
        <w:ind w:firstLine="26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88" w:right="339" w:bottom="1440" w:gutter="0" w:footer="0" w:header="0"/>
        </w:sectPr>
      </w:pPr>
    </w:p>
    <w:p>
      <w:pPr>
        <w:spacing w:after="0" w:line="367"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232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820" w:type="dxa"/>
            <w:vAlign w:val="bottom"/>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Timothy A. Matthews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A. Matthews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M. Kilts</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Kilts</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Clayton C. Daley, Jr.</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Clayton C. Daley, Jr.</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Nomi P. Ghez</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Nomi P. Ghez</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Michelle P. Goolsby</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Michelle P. Goolsby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G. Montgomery</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G. Montgomery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Brian K. Ratzan</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K. Ratzan</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W. Ritterbush</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W. Ritterbush</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Joseph J. Schena</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J. Schena</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J. West</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J. West</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D. White</w:t>
            </w:r>
          </w:p>
        </w:tc>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w:t>
            </w:r>
          </w:p>
        </w:tc>
      </w:tr>
      <w:tr>
        <w:trPr>
          <w:trHeight w:val="23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D. White</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29, 2024</w:t>
      </w:r>
    </w:p>
    <w:p>
      <w:pPr>
        <w:spacing w:after="0" w:line="482" w:lineRule="exact"/>
        <w:rPr>
          <w:sz w:val="20"/>
          <w:szCs w:val="20"/>
          <w:color w:val="auto"/>
        </w:rPr>
      </w:pPr>
    </w:p>
    <w:p>
      <w:pPr>
        <w:sectPr>
          <w:pgSz w:w="11900" w:h="16838" w:orient="portrait"/>
          <w:cols w:equalWidth="0" w:num="2">
            <w:col w:w="7760" w:space="600"/>
            <w:col w:w="2880"/>
          </w:cols>
          <w:pgMar w:left="320" w:top="688"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688" w:right="33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4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following summary of the terms of the capital stock of The Simply Good Foods Company (“Simply Good Foods,” “we,” “our” or “us”) is based upon our fourth amended and restated certificate of incorporation and our third amended and restated bylaws. The summary is not complete and is qualified by reference to our fourth amended and restated certificate of incorporation and our third amended and restated bylaws, each of which is filed as an exhibit to this Annual Report on Form 10-K and incorporated by reference herein. We encourage you to read our fourth amended and restated certificate of incorporation, our third amended and restated bylaws and the applicable provisions of the Delaware General Corporation Law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4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authorizes us to issue up to 600,000,000 shares of common stock, $0.01 par value per share (the “Common Stock”) and 100,000,000 shares of preferred stock, $0.01 par value per share (the “Preferred Stock”). No shares of Preferred Stock are issued and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41"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Simply Good Foods stockholders do not have cumulative voting rights in the election of directors. Accordingly, holders of a majority of the voting shares are able to elect all of the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4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 its discretion out of funds legally available therefore. In no event will any stock dividends or stock splits or combinations of stock be declared or made on Common Stock unless the shares of Common Stock at the time outstanding are treated equally and identically.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24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the Common Stock will be entitled to receive an equal amount per share of all of our assets of whatever kind available for distribution to stockholders, after the rights of the holders of the Preferred Stock have been satisfied.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our Common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100,000,000 shares of Preferred Stock in one or more series and to fix the rights, preferences, privileges, and restrictions thereof. No shares of Preferred Stock are outstanding.</w:t>
      </w:r>
    </w:p>
    <w:p>
      <w:pPr>
        <w:sectPr>
          <w:pgSz w:w="11900" w:h="16838" w:orient="portrait"/>
          <w:cols w:equalWidth="0" w:num="1">
            <w:col w:w="11240"/>
          </w:cols>
          <w:pgMar w:left="320" w:top="14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Fourth Amended and Restated Certificate of Incorporation</w:t>
      </w:r>
    </w:p>
    <w:p>
      <w:pPr>
        <w:spacing w:after="0" w:line="24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Pursuant to our fourth amended and restated certificate of incorporation, we have elected to opt out of the provisions of Section 203 of the Delaware General Corporation Law (the “DGCL”) regulating corporate takeovers and instead the fourth amended and restated certificate of incorporation includes a provision that is substantially similar to Section 203 of the DGCL but carves out certain of our affiliates and their transferees from the definition of “interested stockholder” and makes certain related changes. This provision prevents us, under certain circumstances, from engaging in a “business combination” with:</w:t>
      </w:r>
    </w:p>
    <w:p>
      <w:pPr>
        <w:spacing w:after="0" w:line="13" w:lineRule="exact"/>
        <w:rPr>
          <w:sz w:val="20"/>
          <w:szCs w:val="20"/>
          <w:color w:val="auto"/>
        </w:rPr>
      </w:pPr>
    </w:p>
    <w:p>
      <w:pPr>
        <w:ind w:left="660" w:right="360" w:hanging="328"/>
        <w:spacing w:after="0" w:line="227" w:lineRule="auto"/>
        <w:tabs>
          <w:tab w:leader="none" w:pos="6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stockholder (other than certain of our affiliates that are carved out of the provision pursuant to our fourth amended and restated certificate of incorporation) who owns 15% or more of our outstanding voting stock (otherwise known as an “interested stockholder”);</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affiliate of an interested stockholder; or</w:t>
      </w:r>
    </w:p>
    <w:p>
      <w:pPr>
        <w:spacing w:after="0" w:line="251" w:lineRule="exact"/>
        <w:rPr>
          <w:rFonts w:ascii="Times New Roman" w:cs="Times New Roman" w:eastAsia="Times New Roman" w:hAnsi="Times New Roman"/>
          <w:sz w:val="22"/>
          <w:szCs w:val="22"/>
          <w:color w:val="auto"/>
        </w:rPr>
      </w:pPr>
    </w:p>
    <w:p>
      <w:pPr>
        <w:ind w:left="660" w:right="360" w:hanging="328"/>
        <w:spacing w:after="0" w:line="227" w:lineRule="auto"/>
        <w:tabs>
          <w:tab w:leader="none" w:pos="6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 A “business combination” includes a merger or sale of more than 10% of our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above provisions of Section 203 do not apply if:</w:t>
      </w:r>
    </w:p>
    <w:p>
      <w:pPr>
        <w:spacing w:after="0" w:line="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251" w:lineRule="exact"/>
        <w:rPr>
          <w:rFonts w:ascii="Times New Roman" w:cs="Times New Roman" w:eastAsia="Times New Roman" w:hAnsi="Times New Roman"/>
          <w:sz w:val="22"/>
          <w:szCs w:val="22"/>
          <w:color w:val="auto"/>
        </w:rPr>
      </w:pPr>
    </w:p>
    <w:p>
      <w:pPr>
        <w:ind w:left="660" w:right="100" w:hanging="328"/>
        <w:spacing w:after="0" w:line="227" w:lineRule="auto"/>
        <w:tabs>
          <w:tab w:leader="none" w:pos="6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253" w:lineRule="exact"/>
        <w:rPr>
          <w:rFonts w:ascii="Times New Roman" w:cs="Times New Roman" w:eastAsia="Times New Roman" w:hAnsi="Times New Roman"/>
          <w:sz w:val="22"/>
          <w:szCs w:val="22"/>
          <w:color w:val="auto"/>
        </w:rPr>
      </w:pPr>
    </w:p>
    <w:p>
      <w:pPr>
        <w:jc w:val="both"/>
        <w:ind w:left="660" w:right="140" w:hanging="328"/>
        <w:spacing w:after="0" w:line="230" w:lineRule="auto"/>
        <w:tabs>
          <w:tab w:leader="none" w:pos="6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fourth amended and restated certificate of incorporation does not allow stockholders to act by written consent.</w:t>
      </w:r>
    </w:p>
    <w:p>
      <w:pPr>
        <w:spacing w:after="0" w:line="1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does not provide for cumulative voting in the election of directors; our board of directors is empowered to elect a director to fill a vacancy created by the expansion of the board of directors or the resignation, death, or removal of a director in certain circumstances; and our advance notice procedures includes requirements that the stockholders must comply with in order to nominate candidates to our board of directors or to propose matters to be acted upon at a stockholders’ meeting.</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ectPr>
          <w:pgSz w:w="11900" w:h="16838" w:orient="portrait"/>
          <w:cols w:equalWidth="0" w:num="1">
            <w:col w:w="11240"/>
          </w:cols>
          <w:pgMar w:left="320" w:top="14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such suit will be deemed to have consented to service of process on such stockholder’s counsel. Although we believe this provision benefits us by providing increased consistency in the application of Delaware law in the types of lawsuits to which it applies, the provision may have the effect of discouraging lawsuits against our directors and officers. In addition, unless we consent in writing to the selection of an alternative forum, the federal district courts of the United States of America shall be the sole and exclusive forum for the resolution of any complaint asserting a cause of action arising under the Securities Act of 1933, as amended, against us or any of our directors, officers or other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“SMPL.”</w:t>
      </w:r>
    </w:p>
    <w:p>
      <w:pPr>
        <w:sectPr>
          <w:pgSz w:w="11900" w:h="16838" w:orient="portrait"/>
          <w:cols w:equalWidth="0" w:num="1">
            <w:col w:w="11180"/>
          </w:cols>
          <w:pgMar w:left="320" w:top="1400" w:right="39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980440</wp:posOffset>
            </wp:positionV>
            <wp:extent cx="1645920" cy="1268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SIMPLY GOOD FOODS COMPANY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February 27, 2023</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Insider Trading Policy (the “Policy”) provides guidelines with respect to transactions in the securities of The Simply Good Foods Company and the handling of confidential information about it and the companies with which it does business. Our Board of Directors has adopted this Policy for The Simply Good Foods Company and all of its subsidiaries in the United States and outside the United States to promote compliance with U.S. federal and state securities laws that prohibit certain people who are aware of material nonpublic information about a company from: (i) trading in that company’s securities (other than pursuant to an authorized Rule 10b5-1 Plan established without material nonpublic information about the subject company); or (ii) providing material nonpublic information to other people who may trade on the basis of that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Policy, we use “we,” “us,” “our,” and the “Company” to refer to The Simply Good Foods Company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Responsibilities and Requirements of this Policy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aware of material nonpublic information relating to the Company you may not, directly, or indirectly through family members or other people or entities (or any other person designated by this Policy or by the Compliance Officer as subject to this Policy):</w:t>
      </w:r>
    </w:p>
    <w:p>
      <w:pPr>
        <w:spacing w:after="0" w:line="189" w:lineRule="exact"/>
        <w:rPr>
          <w:sz w:val="20"/>
          <w:szCs w:val="20"/>
          <w:color w:val="auto"/>
        </w:rPr>
      </w:pPr>
    </w:p>
    <w:p>
      <w:pPr>
        <w:jc w:val="both"/>
        <w:ind w:left="1140" w:hanging="322"/>
        <w:spacing w:after="0" w:line="266"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(as defined below), except as otherwise specified in this Policy under the headings “How does this Policy apply to transactions under our compensation plans including our 2017 Omnibus Incentive Plan?,” “Does this Policy apply to transactions in mutual funds that own Company Securities?” and “What is a Rule 10b5-1 Plan?”;</w:t>
      </w:r>
    </w:p>
    <w:p>
      <w:pPr>
        <w:spacing w:after="0" w:line="20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52" w:lineRule="exact"/>
        <w:rPr>
          <w:rFonts w:ascii="Times New Roman" w:cs="Times New Roman" w:eastAsia="Times New Roman" w:hAnsi="Times New Roman"/>
          <w:sz w:val="18"/>
          <w:szCs w:val="18"/>
          <w:color w:val="auto"/>
        </w:rPr>
      </w:pPr>
    </w:p>
    <w:p>
      <w:pPr>
        <w:jc w:val="both"/>
        <w:ind w:left="1140" w:hanging="322"/>
        <w:spacing w:after="0" w:line="261" w:lineRule="auto"/>
        <w:tabs>
          <w:tab w:leader="none" w:pos="1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anyone within the Company whose jobs do not require them to have that information, or outside of the Company to other people, including, but not limited to, family, friends, business associates, investors and expert consulting firms, unless any such disclosure is made in accordance with our policies regarding the protection or authorized external disclosure of information regarding the Company; or</w:t>
      </w:r>
    </w:p>
    <w:p>
      <w:pPr>
        <w:spacing w:after="0" w:line="20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is our policy that no one (including anyone designated as subject to this Policy) who, in the course of working for the Company, learns of material nonpublic information about a company with which we do business, including any of our customers or suppliers, may trade in that company’s securities until the information becomes public or is no longer material.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expressly stated in this Policy. There are no exceptions for transactions that may be necessary or justifiable for independent reasons (such as the need to raise money for an emergency expenditure), or small transactions. The securities laws do not recognize any mitigating circumstances, and, in any event, even the appearance of an improper transaction must be avoided to preserve our reputation for adhering to the highest standards of conduct and compliance with applicable laws and regulations.</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Q&amp;A Table of Contents</w:t>
      </w:r>
    </w:p>
    <w:p>
      <w:pPr>
        <w:spacing w:after="0" w:line="50" w:lineRule="exact"/>
        <w:rPr>
          <w:sz w:val="20"/>
          <w:szCs w:val="20"/>
          <w:color w:val="auto"/>
        </w:rPr>
      </w:pPr>
    </w:p>
    <w:p>
      <w:pPr>
        <w:ind w:left="520"/>
        <w:spacing w:after="0"/>
        <w:tabs>
          <w:tab w:leader="dot" w:pos="8560" w:val="left"/>
        </w:tabs>
        <w:rPr>
          <w:sz w:val="20"/>
          <w:szCs w:val="20"/>
          <w:color w:val="auto"/>
        </w:rPr>
      </w:pPr>
      <w:r>
        <w:rPr>
          <w:rFonts w:ascii="Times New Roman" w:cs="Times New Roman" w:eastAsia="Times New Roman" w:hAnsi="Times New Roman"/>
          <w:sz w:val="18"/>
          <w:szCs w:val="18"/>
          <w:color w:val="auto"/>
        </w:rPr>
        <w:t>Who is subject to the requirements of this Policy? Who is an Insider?</w:t>
      </w:r>
      <w:r>
        <w:rPr>
          <w:sz w:val="20"/>
          <w:szCs w:val="20"/>
          <w:color w:val="auto"/>
        </w:rPr>
        <w:tab/>
      </w:r>
      <w:r>
        <w:rPr>
          <w:rFonts w:ascii="Times New Roman" w:cs="Times New Roman" w:eastAsia="Times New Roman" w:hAnsi="Times New Roman"/>
          <w:sz w:val="16"/>
          <w:szCs w:val="16"/>
          <w:color w:val="auto"/>
        </w:rPr>
        <w:t>3</w:t>
      </w:r>
    </w:p>
    <w:p>
      <w:pPr>
        <w:spacing w:after="0" w:line="27" w:lineRule="exact"/>
        <w:rPr>
          <w:sz w:val="20"/>
          <w:szCs w:val="20"/>
          <w:color w:val="auto"/>
        </w:rPr>
      </w:pPr>
    </w:p>
    <w:p>
      <w:pPr>
        <w:ind w:left="520"/>
        <w:spacing w:after="0"/>
        <w:tabs>
          <w:tab w:leader="dot" w:pos="8780" w:val="left"/>
        </w:tabs>
        <w:rPr>
          <w:sz w:val="20"/>
          <w:szCs w:val="20"/>
          <w:color w:val="auto"/>
        </w:rPr>
      </w:pPr>
      <w:r>
        <w:rPr>
          <w:rFonts w:ascii="Times New Roman" w:cs="Times New Roman" w:eastAsia="Times New Roman" w:hAnsi="Times New Roman"/>
          <w:sz w:val="18"/>
          <w:szCs w:val="18"/>
          <w:color w:val="auto"/>
        </w:rPr>
        <w:t>What transactions are subject to this Policy?</w:t>
      </w:r>
      <w:r>
        <w:rPr>
          <w:sz w:val="20"/>
          <w:szCs w:val="20"/>
          <w:color w:val="auto"/>
        </w:rPr>
        <w:tab/>
      </w:r>
      <w:r>
        <w:rPr>
          <w:rFonts w:ascii="Times New Roman" w:cs="Times New Roman" w:eastAsia="Times New Roman" w:hAnsi="Times New Roman"/>
          <w:sz w:val="16"/>
          <w:szCs w:val="16"/>
          <w:color w:val="auto"/>
        </w:rPr>
        <w:t>3</w:t>
      </w:r>
    </w:p>
    <w:p>
      <w:pPr>
        <w:spacing w:after="0" w:line="23" w:lineRule="exact"/>
        <w:rPr>
          <w:sz w:val="20"/>
          <w:szCs w:val="20"/>
          <w:color w:val="auto"/>
        </w:rPr>
      </w:pPr>
    </w:p>
    <w:p>
      <w:pPr>
        <w:ind w:left="520"/>
        <w:spacing w:after="0"/>
        <w:tabs>
          <w:tab w:leader="dot" w:pos="8720" w:val="left"/>
        </w:tabs>
        <w:rPr>
          <w:sz w:val="20"/>
          <w:szCs w:val="20"/>
          <w:color w:val="auto"/>
        </w:rPr>
      </w:pPr>
      <w:r>
        <w:rPr>
          <w:rFonts w:ascii="Times New Roman" w:cs="Times New Roman" w:eastAsia="Times New Roman" w:hAnsi="Times New Roman"/>
          <w:sz w:val="18"/>
          <w:szCs w:val="18"/>
          <w:color w:val="auto"/>
        </w:rPr>
        <w:t>What is your individual responsibility under this Policy?</w:t>
      </w:r>
      <w:r>
        <w:rPr>
          <w:sz w:val="20"/>
          <w:szCs w:val="20"/>
          <w:color w:val="auto"/>
        </w:rPr>
        <w:tab/>
      </w:r>
      <w:r>
        <w:rPr>
          <w:rFonts w:ascii="Times New Roman" w:cs="Times New Roman" w:eastAsia="Times New Roman" w:hAnsi="Times New Roman"/>
          <w:sz w:val="16"/>
          <w:szCs w:val="16"/>
          <w:color w:val="auto"/>
        </w:rPr>
        <w:t>3</w:t>
      </w:r>
    </w:p>
    <w:p>
      <w:pPr>
        <w:spacing w:after="0" w:line="23" w:lineRule="exact"/>
        <w:rPr>
          <w:sz w:val="20"/>
          <w:szCs w:val="20"/>
          <w:color w:val="auto"/>
        </w:rPr>
      </w:pPr>
    </w:p>
    <w:p>
      <w:pPr>
        <w:ind w:left="520"/>
        <w:spacing w:after="0"/>
        <w:tabs>
          <w:tab w:leader="dot" w:pos="8760" w:val="left"/>
        </w:tabs>
        <w:rPr>
          <w:sz w:val="20"/>
          <w:szCs w:val="20"/>
          <w:color w:val="auto"/>
        </w:rPr>
      </w:pPr>
      <w:r>
        <w:rPr>
          <w:rFonts w:ascii="Times New Roman" w:cs="Times New Roman" w:eastAsia="Times New Roman" w:hAnsi="Times New Roman"/>
          <w:sz w:val="18"/>
          <w:szCs w:val="18"/>
          <w:color w:val="auto"/>
        </w:rPr>
        <w:t>Who is responsible to administer this Policy?</w:t>
      </w:r>
      <w:r>
        <w:rPr>
          <w:sz w:val="20"/>
          <w:szCs w:val="20"/>
          <w:color w:val="auto"/>
        </w:rPr>
        <w:tab/>
      </w:r>
      <w:r>
        <w:rPr>
          <w:rFonts w:ascii="Times New Roman" w:cs="Times New Roman" w:eastAsia="Times New Roman" w:hAnsi="Times New Roman"/>
          <w:sz w:val="16"/>
          <w:szCs w:val="16"/>
          <w:color w:val="auto"/>
        </w:rPr>
        <w:t>3</w:t>
      </w:r>
    </w:p>
    <w:p>
      <w:pPr>
        <w:spacing w:after="0" w:line="23" w:lineRule="exact"/>
        <w:rPr>
          <w:sz w:val="20"/>
          <w:szCs w:val="20"/>
          <w:color w:val="auto"/>
        </w:rPr>
      </w:pPr>
    </w:p>
    <w:p>
      <w:pPr>
        <w:ind w:left="520"/>
        <w:spacing w:after="0"/>
        <w:tabs>
          <w:tab w:leader="dot" w:pos="8540" w:val="left"/>
        </w:tabs>
        <w:rPr>
          <w:sz w:val="20"/>
          <w:szCs w:val="20"/>
          <w:color w:val="auto"/>
        </w:rPr>
      </w:pPr>
      <w:r>
        <w:rPr>
          <w:rFonts w:ascii="Times New Roman" w:cs="Times New Roman" w:eastAsia="Times New Roman" w:hAnsi="Times New Roman"/>
          <w:sz w:val="18"/>
          <w:szCs w:val="18"/>
          <w:color w:val="auto"/>
        </w:rPr>
        <w:t>What is “Material Nonpublic Information” and how is it defined?</w:t>
      </w:r>
      <w:r>
        <w:rPr>
          <w:sz w:val="20"/>
          <w:szCs w:val="20"/>
          <w:color w:val="auto"/>
        </w:rPr>
        <w:tab/>
      </w:r>
      <w:r>
        <w:rPr>
          <w:rFonts w:ascii="Times New Roman" w:cs="Times New Roman" w:eastAsia="Times New Roman" w:hAnsi="Times New Roman"/>
          <w:sz w:val="18"/>
          <w:szCs w:val="18"/>
          <w:color w:val="auto"/>
        </w:rPr>
        <w:t>3</w:t>
      </w:r>
    </w:p>
    <w:p>
      <w:pPr>
        <w:spacing w:after="0" w:line="23" w:lineRule="exact"/>
        <w:rPr>
          <w:sz w:val="20"/>
          <w:szCs w:val="20"/>
          <w:color w:val="auto"/>
        </w:rPr>
      </w:pPr>
    </w:p>
    <w:p>
      <w:pPr>
        <w:ind w:left="520"/>
        <w:spacing w:after="0"/>
        <w:tabs>
          <w:tab w:leader="dot" w:pos="8760" w:val="left"/>
        </w:tabs>
        <w:rPr>
          <w:sz w:val="20"/>
          <w:szCs w:val="20"/>
          <w:color w:val="auto"/>
        </w:rPr>
      </w:pPr>
      <w:r>
        <w:rPr>
          <w:rFonts w:ascii="Times New Roman" w:cs="Times New Roman" w:eastAsia="Times New Roman" w:hAnsi="Times New Roman"/>
          <w:sz w:val="18"/>
          <w:szCs w:val="18"/>
          <w:color w:val="auto"/>
        </w:rPr>
        <w:t>When is Information Considered Public?</w:t>
      </w:r>
      <w:r>
        <w:rPr>
          <w:sz w:val="20"/>
          <w:szCs w:val="20"/>
          <w:color w:val="auto"/>
        </w:rPr>
        <w:tab/>
      </w:r>
      <w:r>
        <w:rPr>
          <w:rFonts w:ascii="Times New Roman" w:cs="Times New Roman" w:eastAsia="Times New Roman" w:hAnsi="Times New Roman"/>
          <w:sz w:val="18"/>
          <w:szCs w:val="18"/>
          <w:color w:val="auto"/>
        </w:rPr>
        <w:t>5</w:t>
      </w:r>
    </w:p>
    <w:p>
      <w:pPr>
        <w:spacing w:after="0" w:line="23" w:lineRule="exact"/>
        <w:rPr>
          <w:sz w:val="20"/>
          <w:szCs w:val="20"/>
          <w:color w:val="auto"/>
        </w:rPr>
      </w:pPr>
    </w:p>
    <w:p>
      <w:pPr>
        <w:ind w:left="520"/>
        <w:spacing w:after="0"/>
        <w:tabs>
          <w:tab w:leader="dot" w:pos="8300" w:val="left"/>
        </w:tabs>
        <w:rPr>
          <w:sz w:val="20"/>
          <w:szCs w:val="20"/>
          <w:color w:val="auto"/>
        </w:rPr>
      </w:pPr>
      <w:r>
        <w:rPr>
          <w:rFonts w:ascii="Times New Roman" w:cs="Times New Roman" w:eastAsia="Times New Roman" w:hAnsi="Times New Roman"/>
          <w:sz w:val="18"/>
          <w:szCs w:val="18"/>
          <w:color w:val="auto"/>
        </w:rPr>
        <w:t>Does this Policy also apply to transactions by family members and certain other people related to me?</w:t>
      </w:r>
      <w:r>
        <w:rPr>
          <w:sz w:val="20"/>
          <w:szCs w:val="20"/>
          <w:color w:val="auto"/>
        </w:rPr>
        <w:tab/>
      </w:r>
      <w:r>
        <w:rPr>
          <w:rFonts w:ascii="Times New Roman" w:cs="Times New Roman" w:eastAsia="Times New Roman" w:hAnsi="Times New Roman"/>
          <w:sz w:val="16"/>
          <w:szCs w:val="16"/>
          <w:color w:val="auto"/>
        </w:rPr>
        <w:t>5</w:t>
      </w:r>
    </w:p>
    <w:p>
      <w:pPr>
        <w:spacing w:after="0" w:line="23" w:lineRule="exact"/>
        <w:rPr>
          <w:sz w:val="20"/>
          <w:szCs w:val="20"/>
          <w:color w:val="auto"/>
        </w:rPr>
      </w:pPr>
    </w:p>
    <w:p>
      <w:pPr>
        <w:ind w:left="520"/>
        <w:spacing w:after="0"/>
        <w:tabs>
          <w:tab w:leader="dot" w:pos="8520" w:val="left"/>
        </w:tabs>
        <w:rPr>
          <w:sz w:val="20"/>
          <w:szCs w:val="20"/>
          <w:color w:val="auto"/>
        </w:rPr>
      </w:pPr>
      <w:r>
        <w:rPr>
          <w:rFonts w:ascii="Times New Roman" w:cs="Times New Roman" w:eastAsia="Times New Roman" w:hAnsi="Times New Roman"/>
          <w:sz w:val="18"/>
          <w:szCs w:val="18"/>
          <w:color w:val="auto"/>
        </w:rPr>
        <w:t>Does this Policy also apply to transactions by entities I influence or control?</w:t>
      </w:r>
      <w:r>
        <w:rPr>
          <w:sz w:val="20"/>
          <w:szCs w:val="20"/>
          <w:color w:val="auto"/>
        </w:rPr>
        <w:tab/>
      </w:r>
      <w:r>
        <w:rPr>
          <w:rFonts w:ascii="Times New Roman" w:cs="Times New Roman" w:eastAsia="Times New Roman" w:hAnsi="Times New Roman"/>
          <w:sz w:val="16"/>
          <w:szCs w:val="16"/>
          <w:color w:val="auto"/>
        </w:rPr>
        <w:t>6</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How does this Policy apply to transactions under our compensation plans including our 2017</w:t>
      </w:r>
    </w:p>
    <w:p>
      <w:pPr>
        <w:ind w:left="520"/>
        <w:spacing w:after="0"/>
        <w:tabs>
          <w:tab w:leader="dot" w:pos="8900" w:val="left"/>
        </w:tabs>
        <w:rPr>
          <w:sz w:val="20"/>
          <w:szCs w:val="20"/>
          <w:color w:val="auto"/>
        </w:rPr>
      </w:pPr>
      <w:r>
        <w:rPr>
          <w:rFonts w:ascii="Times New Roman" w:cs="Times New Roman" w:eastAsia="Times New Roman" w:hAnsi="Times New Roman"/>
          <w:sz w:val="18"/>
          <w:szCs w:val="18"/>
          <w:color w:val="auto"/>
        </w:rPr>
        <w:t>Omnibus Incentive Plan?</w:t>
      </w:r>
      <w:r>
        <w:rPr>
          <w:sz w:val="20"/>
          <w:szCs w:val="20"/>
          <w:color w:val="auto"/>
        </w:rPr>
        <w:tab/>
      </w:r>
      <w:r>
        <w:rPr>
          <w:rFonts w:ascii="Times New Roman" w:cs="Times New Roman" w:eastAsia="Times New Roman" w:hAnsi="Times New Roman"/>
          <w:sz w:val="16"/>
          <w:szCs w:val="16"/>
          <w:color w:val="auto"/>
        </w:rPr>
        <w:t>6</w:t>
      </w:r>
    </w:p>
    <w:p>
      <w:pPr>
        <w:spacing w:after="0" w:line="16" w:lineRule="exact"/>
        <w:rPr>
          <w:sz w:val="20"/>
          <w:szCs w:val="20"/>
          <w:color w:val="auto"/>
        </w:rPr>
      </w:pPr>
    </w:p>
    <w:p>
      <w:pPr>
        <w:ind w:left="520"/>
        <w:spacing w:after="0"/>
        <w:tabs>
          <w:tab w:leader="dot" w:pos="8880" w:val="left"/>
        </w:tabs>
        <w:rPr>
          <w:sz w:val="20"/>
          <w:szCs w:val="20"/>
          <w:color w:val="auto"/>
        </w:rPr>
      </w:pPr>
      <w:r>
        <w:rPr>
          <w:rFonts w:ascii="Times New Roman" w:cs="Times New Roman" w:eastAsia="Times New Roman" w:hAnsi="Times New Roman"/>
          <w:sz w:val="18"/>
          <w:szCs w:val="18"/>
          <w:color w:val="auto"/>
        </w:rPr>
        <w:t>Does this Policy apply to gifts?</w:t>
      </w:r>
      <w:r>
        <w:rPr>
          <w:sz w:val="20"/>
          <w:szCs w:val="20"/>
          <w:color w:val="auto"/>
        </w:rPr>
        <w:tab/>
      </w:r>
      <w:r>
        <w:rPr>
          <w:rFonts w:ascii="Times New Roman" w:cs="Times New Roman" w:eastAsia="Times New Roman" w:hAnsi="Times New Roman"/>
          <w:sz w:val="16"/>
          <w:szCs w:val="16"/>
          <w:color w:val="auto"/>
        </w:rPr>
        <w:t>6</w:t>
      </w:r>
    </w:p>
    <w:p>
      <w:pPr>
        <w:spacing w:after="0" w:line="27" w:lineRule="exact"/>
        <w:rPr>
          <w:sz w:val="20"/>
          <w:szCs w:val="20"/>
          <w:color w:val="auto"/>
        </w:rPr>
      </w:pPr>
    </w:p>
    <w:p>
      <w:pPr>
        <w:ind w:left="520"/>
        <w:spacing w:after="0"/>
        <w:tabs>
          <w:tab w:leader="dot" w:pos="8440" w:val="left"/>
        </w:tabs>
        <w:rPr>
          <w:sz w:val="20"/>
          <w:szCs w:val="20"/>
          <w:color w:val="auto"/>
        </w:rPr>
      </w:pPr>
      <w:r>
        <w:rPr>
          <w:rFonts w:ascii="Times New Roman" w:cs="Times New Roman" w:eastAsia="Times New Roman" w:hAnsi="Times New Roman"/>
          <w:sz w:val="18"/>
          <w:szCs w:val="18"/>
          <w:color w:val="auto"/>
        </w:rPr>
        <w:t>Does this Policy apply to transactions in mutual funds that own Company Securities?</w:t>
      </w:r>
      <w:r>
        <w:rPr>
          <w:sz w:val="20"/>
          <w:szCs w:val="20"/>
          <w:color w:val="auto"/>
        </w:rPr>
        <w:tab/>
      </w: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520"/>
        <w:spacing w:after="0"/>
        <w:tabs>
          <w:tab w:leader="dot" w:pos="8640" w:val="left"/>
        </w:tabs>
        <w:rPr>
          <w:sz w:val="20"/>
          <w:szCs w:val="20"/>
          <w:color w:val="auto"/>
        </w:rPr>
      </w:pPr>
      <w:r>
        <w:rPr>
          <w:rFonts w:ascii="Times New Roman" w:cs="Times New Roman" w:eastAsia="Times New Roman" w:hAnsi="Times New Roman"/>
          <w:sz w:val="18"/>
          <w:szCs w:val="18"/>
          <w:color w:val="auto"/>
        </w:rPr>
        <w:t>Are there any transactions that are prohibited by this Policy?</w:t>
      </w:r>
      <w:r>
        <w:rPr>
          <w:sz w:val="20"/>
          <w:szCs w:val="20"/>
          <w:color w:val="auto"/>
        </w:rPr>
        <w:tab/>
      </w:r>
      <w:r>
        <w:rPr>
          <w:rFonts w:ascii="Times New Roman" w:cs="Times New Roman" w:eastAsia="Times New Roman" w:hAnsi="Times New Roman"/>
          <w:sz w:val="18"/>
          <w:szCs w:val="18"/>
          <w:color w:val="auto"/>
        </w:rPr>
        <w:t>6</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What are the requirements to be followed if an Insider wants to buy or sell Company Securities</w:t>
      </w:r>
    </w:p>
    <w:p>
      <w:pPr>
        <w:ind w:left="520"/>
        <w:spacing w:after="0"/>
        <w:tabs>
          <w:tab w:leader="dot" w:pos="8680" w:val="left"/>
        </w:tabs>
        <w:rPr>
          <w:sz w:val="20"/>
          <w:szCs w:val="20"/>
          <w:color w:val="auto"/>
        </w:rPr>
      </w:pPr>
      <w:r>
        <w:rPr>
          <w:rFonts w:ascii="Times New Roman" w:cs="Times New Roman" w:eastAsia="Times New Roman" w:hAnsi="Times New Roman"/>
          <w:sz w:val="18"/>
          <w:szCs w:val="18"/>
          <w:color w:val="auto"/>
        </w:rPr>
        <w:t>or exercise stock options? What is the Trading Window?</w:t>
      </w:r>
      <w:r>
        <w:rPr>
          <w:sz w:val="20"/>
          <w:szCs w:val="20"/>
          <w:color w:val="auto"/>
        </w:rPr>
        <w:tab/>
      </w:r>
      <w:r>
        <w:rPr>
          <w:rFonts w:ascii="Times New Roman" w:cs="Times New Roman" w:eastAsia="Times New Roman" w:hAnsi="Times New Roman"/>
          <w:sz w:val="16"/>
          <w:szCs w:val="16"/>
          <w:color w:val="auto"/>
        </w:rPr>
        <w:t>8</w:t>
      </w:r>
    </w:p>
    <w:p>
      <w:pPr>
        <w:spacing w:after="0" w:line="16" w:lineRule="exact"/>
        <w:rPr>
          <w:sz w:val="20"/>
          <w:szCs w:val="20"/>
          <w:color w:val="auto"/>
        </w:rPr>
      </w:pPr>
    </w:p>
    <w:p>
      <w:pPr>
        <w:ind w:left="520"/>
        <w:spacing w:after="0"/>
        <w:tabs>
          <w:tab w:leader="dot" w:pos="8920" w:val="left"/>
        </w:tabs>
        <w:rPr>
          <w:sz w:val="20"/>
          <w:szCs w:val="20"/>
          <w:color w:val="auto"/>
        </w:rPr>
      </w:pPr>
      <w:r>
        <w:rPr>
          <w:rFonts w:ascii="Times New Roman" w:cs="Times New Roman" w:eastAsia="Times New Roman" w:hAnsi="Times New Roman"/>
          <w:sz w:val="18"/>
          <w:szCs w:val="18"/>
          <w:color w:val="auto"/>
        </w:rPr>
        <w:t>What is a Rule 10b5-1 Plan?</w:t>
      </w:r>
      <w:r>
        <w:rPr>
          <w:sz w:val="20"/>
          <w:szCs w:val="20"/>
          <w:color w:val="auto"/>
        </w:rPr>
        <w:tab/>
      </w:r>
      <w:r>
        <w:rPr>
          <w:rFonts w:ascii="Times New Roman" w:cs="Times New Roman" w:eastAsia="Times New Roman" w:hAnsi="Times New Roman"/>
          <w:sz w:val="16"/>
          <w:szCs w:val="16"/>
          <w:color w:val="auto"/>
        </w:rPr>
        <w:t>9</w:t>
      </w:r>
    </w:p>
    <w:p>
      <w:pPr>
        <w:spacing w:after="0" w:line="27" w:lineRule="exact"/>
        <w:rPr>
          <w:sz w:val="20"/>
          <w:szCs w:val="20"/>
          <w:color w:val="auto"/>
        </w:rPr>
      </w:pPr>
    </w:p>
    <w:p>
      <w:pPr>
        <w:ind w:left="520"/>
        <w:spacing w:after="0"/>
        <w:tabs>
          <w:tab w:leader="dot" w:pos="8540" w:val="left"/>
        </w:tabs>
        <w:rPr>
          <w:sz w:val="20"/>
          <w:szCs w:val="20"/>
          <w:color w:val="auto"/>
        </w:rPr>
      </w:pPr>
      <w:r>
        <w:rPr>
          <w:rFonts w:ascii="Times New Roman" w:cs="Times New Roman" w:eastAsia="Times New Roman" w:hAnsi="Times New Roman"/>
          <w:sz w:val="18"/>
          <w:szCs w:val="18"/>
          <w:color w:val="auto"/>
        </w:rPr>
        <w:t>Does this Policy apply even after employment with the Company ends?</w:t>
      </w:r>
      <w:r>
        <w:rPr>
          <w:sz w:val="20"/>
          <w:szCs w:val="20"/>
          <w:color w:val="auto"/>
        </w:rPr>
        <w:tab/>
      </w:r>
      <w:r>
        <w:rPr>
          <w:rFonts w:ascii="Times New Roman" w:cs="Times New Roman" w:eastAsia="Times New Roman" w:hAnsi="Times New Roman"/>
          <w:sz w:val="18"/>
          <w:szCs w:val="18"/>
          <w:color w:val="auto"/>
        </w:rPr>
        <w:t>9</w:t>
      </w:r>
    </w:p>
    <w:p>
      <w:pPr>
        <w:spacing w:after="0" w:line="23" w:lineRule="exact"/>
        <w:rPr>
          <w:sz w:val="20"/>
          <w:szCs w:val="20"/>
          <w:color w:val="auto"/>
        </w:rPr>
      </w:pPr>
    </w:p>
    <w:p>
      <w:pPr>
        <w:ind w:left="520"/>
        <w:spacing w:after="0"/>
        <w:tabs>
          <w:tab w:leader="dot" w:pos="8700" w:val="left"/>
        </w:tabs>
        <w:rPr>
          <w:sz w:val="20"/>
          <w:szCs w:val="20"/>
          <w:color w:val="auto"/>
        </w:rPr>
      </w:pPr>
      <w:r>
        <w:rPr>
          <w:rFonts w:ascii="Times New Roman" w:cs="Times New Roman" w:eastAsia="Times New Roman" w:hAnsi="Times New Roman"/>
          <w:sz w:val="18"/>
          <w:szCs w:val="18"/>
          <w:color w:val="auto"/>
        </w:rPr>
        <w:t>What happens if there is a violation of this Policy?</w:t>
      </w:r>
      <w:r>
        <w:rPr>
          <w:sz w:val="20"/>
          <w:szCs w:val="20"/>
          <w:color w:val="auto"/>
        </w:rPr>
        <w:tab/>
      </w:r>
      <w:r>
        <w:rPr>
          <w:rFonts w:ascii="Times New Roman" w:cs="Times New Roman" w:eastAsia="Times New Roman" w:hAnsi="Times New Roman"/>
          <w:sz w:val="16"/>
          <w:szCs w:val="16"/>
          <w:color w:val="auto"/>
        </w:rPr>
        <w:t>9</w:t>
      </w:r>
    </w:p>
    <w:p>
      <w:pPr>
        <w:spacing w:after="0" w:line="23" w:lineRule="exact"/>
        <w:rPr>
          <w:sz w:val="20"/>
          <w:szCs w:val="20"/>
          <w:color w:val="auto"/>
        </w:rPr>
      </w:pPr>
    </w:p>
    <w:p>
      <w:pPr>
        <w:ind w:left="520"/>
        <w:spacing w:after="0"/>
        <w:tabs>
          <w:tab w:leader="dot" w:pos="8680" w:val="left"/>
        </w:tabs>
        <w:rPr>
          <w:sz w:val="20"/>
          <w:szCs w:val="20"/>
          <w:color w:val="auto"/>
        </w:rPr>
      </w:pPr>
      <w:r>
        <w:rPr>
          <w:rFonts w:ascii="Times New Roman" w:cs="Times New Roman" w:eastAsia="Times New Roman" w:hAnsi="Times New Roman"/>
          <w:sz w:val="18"/>
          <w:szCs w:val="18"/>
          <w:color w:val="auto"/>
        </w:rPr>
        <w:t>Where can I find additional information?</w:t>
      </w:r>
      <w:r>
        <w:rPr>
          <w:sz w:val="20"/>
          <w:szCs w:val="20"/>
          <w:color w:val="auto"/>
        </w:rPr>
        <w:tab/>
      </w:r>
      <w:r>
        <w:rPr>
          <w:rFonts w:ascii="Times New Roman" w:cs="Times New Roman" w:eastAsia="Times New Roman" w:hAnsi="Times New Roman"/>
          <w:sz w:val="18"/>
          <w:szCs w:val="18"/>
          <w:color w:val="auto"/>
        </w:rPr>
        <w:t>10</w:t>
      </w:r>
    </w:p>
    <w:p>
      <w:pPr>
        <w:spacing w:after="0" w:line="23" w:lineRule="exact"/>
        <w:rPr>
          <w:sz w:val="20"/>
          <w:szCs w:val="20"/>
          <w:color w:val="auto"/>
        </w:rPr>
      </w:pPr>
    </w:p>
    <w:p>
      <w:pPr>
        <w:ind w:left="520"/>
        <w:spacing w:after="0"/>
        <w:tabs>
          <w:tab w:leader="dot" w:pos="8640" w:val="left"/>
        </w:tabs>
        <w:rPr>
          <w:sz w:val="20"/>
          <w:szCs w:val="20"/>
          <w:color w:val="auto"/>
        </w:rPr>
      </w:pPr>
      <w:r>
        <w:rPr>
          <w:rFonts w:ascii="Times New Roman" w:cs="Times New Roman" w:eastAsia="Times New Roman" w:hAnsi="Times New Roman"/>
          <w:sz w:val="18"/>
          <w:szCs w:val="18"/>
          <w:color w:val="auto"/>
        </w:rPr>
        <w:t>What additional Company assistance is provided?</w:t>
      </w:r>
      <w:r>
        <w:rPr>
          <w:sz w:val="20"/>
          <w:szCs w:val="20"/>
          <w:color w:val="auto"/>
        </w:rPr>
        <w:tab/>
      </w:r>
      <w:r>
        <w:rPr>
          <w:rFonts w:ascii="Times New Roman" w:cs="Times New Roman" w:eastAsia="Times New Roman" w:hAnsi="Times New Roman"/>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is subject to the requirements of this Policy? Who is an Insider?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applies to members of the Board of Directors of The Simply Good Foods Company and all of the Company’s officers and employees. This includes all officers and employees of any of the Company’s subsidiaries. From time to time, we may also determine other people should be subject to this Policy, such as contractors or consultants who have access to material nonpublic information (which we discuss in more detail below). This Policy also applies to (1) family members, (2) other members of a person’s household, and (3) entities controlled by a person covered by this Policy, all as described in more detail below. We refer to each person or entity that is covered by this Policy as an “Insider.”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transactions are subject to this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transactions in our securities (collectively referred to in this Policy as “Company Securities”), including our common stock, options to purchase common stock, or any other type of securities that we may issue, including (but not limited to) preferred stock, convertible notes and warrants, and derivative securities that are not issued by us, such as exchange-traded put or call options or swaps relating to Company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your individual responsibility under this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Insiders have ethical and legal obligations to maintain the confidentiality of information about the Company and to not engage in transactions in Company Securities while in possession of material nonpublic information. Insiders must not engage in illegal trading and must avoid the appearance of improper trading.</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responsible for making sure that you comply with this Policy, and that any family member, person who is living in your household or entity whose transactions are subject to this Policy, as discussed below, also complies with this Policy. In all cases, the responsibility for determining whether an individual is in possession of material nonpublic information rests with that individual, and any action on our part, by the Compliance Officer, or by any other employee or director pursuant to this Policy (or otherwise) does not in any way constitute legal advice or insulate an individual from liability under applicable securities laws. You could be subject to severe legal penalties and corrective action by the Company up to and including termination of your employment for any conduct prohibited by this Policy or applicable securities laws, as described below in more detail under the heading “What happens if there’s a violation of this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is responsible to administer this Policy?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determinations and interpretations by the Compliance Officer or their designee shall be final and not subject to further review. Please refer to the Company directory for the name and contact information of the current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“Material Nonpublic Information” and how is it defined?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definition of material nonpublic information can be complicated. There is no specific written definition in federal laws. Instead, it has developed, evolved, and changed over time based on various court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deciding to buy, hold, or sell securities. Any information that could be expected to affect a company’s stock price, whether it is positive or negative, should be considered material. There is no bright-line standard for determining whether particular information is material; rather, materiality is based on an assessment of all of the facts and circumstances and is often evaluated by enforcement authorities with the benefit of hindsight. While it is not possible to define all categories of material information, we believe sharing some examples of information that ordinarily would be regarded as material can be helpful. These examples include:</w:t>
      </w:r>
    </w:p>
    <w:p>
      <w:pPr>
        <w:spacing w:after="0" w:line="210" w:lineRule="exact"/>
        <w:rPr>
          <w:sz w:val="20"/>
          <w:szCs w:val="20"/>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senior management or in the Board of Directors;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category;</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that type of litigation;</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252"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88"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Company Securities; or</w:t>
      </w:r>
    </w:p>
    <w:p>
      <w:pPr>
        <w:spacing w:after="0" w:line="27" w:lineRule="exact"/>
        <w:rPr>
          <w:rFonts w:ascii="Times New Roman" w:cs="Times New Roman" w:eastAsia="Times New Roman" w:hAnsi="Times New Roman"/>
          <w:sz w:val="18"/>
          <w:szCs w:val="18"/>
          <w:color w:val="auto"/>
        </w:rPr>
      </w:pPr>
    </w:p>
    <w:p>
      <w:pPr>
        <w:ind w:left="1140" w:hanging="322"/>
        <w:spacing w:after="0" w:line="260" w:lineRule="auto"/>
        <w:tabs>
          <w:tab w:leader="none" w:pos="1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or an event-specific restriction on trading in Company Securities or the securities of another company or the extension or termination of such restriction as described in more detail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unsure whether information is material, you should consult the Compliance Officer.</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1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When is Information Considered Public?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that has not been disclosed to the public is generally considered to be nonpublic information. To establish that the information has been disclosed to the public, it may be necessary to show the information has been widely disseminated. Information generally would be considered widely disseminated if it has been disclosed through newswire services using a press release, a broadcast on widely available radio or television programs, publication in a widely available newspaper, magazine or news website, or public disclosure documents filed with the Securities and Exchange Commission (the “SEC”) that are available on the SEC’s website.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contrast, information would likely not be considered widely disseminated if it is available only to our employees, or if it is only available to a select group of analysts, brokers, and institutional investors.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the information. As a general rule, information should not be considered fully absorbed by the marketplace until after two full business days have passed since the day on which the information is released. If, for example, the Company were to make an announcement on a Monday before the stock market has opened for trading, you should not trade in Company Securities until Wednesday. If the announcement is made during or after the trading day on Monday, you should wait until Thursday to trade. Depending on the particular circumstances, the Company may determine that a longer or shorter period should apply to the release of specific material nonpublic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also apply to transactions by family members and certain other people related to 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This Policy applies to you and your Family Members. We define “Family Members” in this policy as:</w:t>
      </w:r>
    </w:p>
    <w:p>
      <w:pPr>
        <w:spacing w:after="0" w:line="252" w:lineRule="exact"/>
        <w:rPr>
          <w:sz w:val="20"/>
          <w:szCs w:val="20"/>
          <w:color w:val="auto"/>
        </w:rPr>
      </w:pPr>
    </w:p>
    <w:p>
      <w:pPr>
        <w:ind w:left="1140" w:hanging="322"/>
        <w:spacing w:after="0" w:line="282" w:lineRule="auto"/>
        <w:tabs>
          <w:tab w:leader="none" w:pos="1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who reside with you (including a spouse, a child, a child away at college, stepchildren, grandchildren, parents, stepparents, grandparents, siblings and in-laws);</w:t>
      </w:r>
    </w:p>
    <w:p>
      <w:pPr>
        <w:spacing w:after="0" w:line="188"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else who lives in your household; and</w:t>
      </w:r>
    </w:p>
    <w:p>
      <w:pPr>
        <w:spacing w:after="0" w:line="252"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members who do not live in your household but whose transactions in Company Securities are initiated or directed by you or are subject to your influence or control, such as parents, in-laws or children who consult with you before they trade in Company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does not, however, apply to personal securities transactions of Family Members where the purchase or sale decision is made by a third party not controlled by, influenced by or related to you or your Family Members.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also apply to transactions by entities I influence or control?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This Policy applies to any entities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does this Policy apply to transactions under our compensation plans including our 2017 Omnibus Incentive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specifically stated otherwise, this Policy does not apply in the case of the following transactions:</w:t>
      </w:r>
    </w:p>
    <w:p>
      <w:pPr>
        <w:spacing w:after="0" w:line="25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 Company’s plans, or to the exercise of a tax withholding right pursuant to which you have elected to have the Company withhold shares subject to an option to satisfy tax withholding requirements.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13" w:right="339" w:bottom="1440" w:gutter="0" w:footer="0" w:header="0"/>
          <w:type w:val="continuous"/>
        </w:sectPr>
      </w:pPr>
    </w:p>
    <w:bookmarkStart w:id="97" w:name="page98"/>
    <w:bookmarkEnd w:id="97"/>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answer is different with respect to selling stock you receive on the option exercise. This Policy does apply to any sale of stock as part of a broker-assisted cashless exercise of an option, or any other market sale for the purpose of generating the cash needed to pay the exercise price of an option.</w:t>
      </w: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Restricted Stock Unit Awards.</w:t>
      </w:r>
      <w:r>
        <w:rPr>
          <w:rFonts w:ascii="Times New Roman" w:cs="Times New Roman" w:eastAsia="Times New Roman" w:hAnsi="Times New Roman"/>
          <w:sz w:val="18"/>
          <w:szCs w:val="18"/>
          <w:color w:val="auto"/>
        </w:rPr>
        <w:t xml:space="preserve"> This Policy does not apply to the vesting of restricted stock units, or the exercise of a tax withholding right pursuant to which you elect to have the Company withhold shares of stock to satisfy tax withholding requirements upon the vesting of any restricted stock unit award. However, this Policy does apply to any market sale of shares of stock you receive once the restricted stock unit has vested.</w:t>
      </w:r>
    </w:p>
    <w:p>
      <w:pPr>
        <w:spacing w:after="0" w:line="20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xml:space="preserve"> Any other purchase of Company Securities from the Company or sales of Company Securities to the Company are not subject to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to gifts?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are restricted by the terms of this Policy. Under this Policy,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is considered a transaction that must be completed during an open Trading Window. This is the case even though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is not technically a purchase or sale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transactions in mutual funds that own Company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Transactions in mutual funds that are invested in Company Securities are not transactions subject to this Policy.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 there any transactions that are prohibited by this Policy?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We have determined there is a heightened legal risk and/or the appearance of improper or inappropriate conduct if Insiders engage in certain types of transactions. It is our policy that Insiders may not engage in any of the following transactions, or should otherwise consider the Company’s preferences as described below:</w:t>
      </w:r>
    </w:p>
    <w:p>
      <w:pPr>
        <w:spacing w:after="0" w:line="203"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xml:space="preserve"> Hedging or monetization transactions can be accomplished through a number of possible mechanisms, including through the use of financial instruments such as prepaid variable forwards, equity swaps, collars, and exchange funds. Such transactions may permit a person to continue to own Company Securities obtained through employee benefit plans or otherwise, but without the full risks and rewards of ownership. When that occurs, the person may no longer have the same objectives as the Company’s other stockholders. Therefore, Insiders are prohibited from engaging in any such transactions.</w:t>
      </w:r>
    </w:p>
    <w:p>
      <w:pPr>
        <w:spacing w:after="0" w:line="210"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210"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Short-term trading of Company Securities may be distracting to you and may unduly focus you on our short-term stock market performance instead of our long-term business objectives. For these reasons, the Company discourages Insiders who buy Company Securities in the open market from selling any Company Securities of the same class during the six months following the purchase (or vice versa). Additional short-term trading rules apply to certain members of our senior management and our Board of Directors. Please see the heading “Where can I find additional information?”</w:t>
      </w:r>
    </w:p>
    <w:p>
      <w:pPr>
        <w:spacing w:after="0" w:line="21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xml:space="preserve">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98" w:name="page99"/>
    <w:bookmarkEnd w:id="98"/>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short sales may reduce a seller’s incentive to seek to improve the Company’s performance. For these reasons, short sales of Company Securities are prohibited. In addition, the U.S. federal securities laws prohibit officers and directors from engaging in short sales.</w:t>
      </w:r>
    </w:p>
    <w:p>
      <w:pPr>
        <w:spacing w:after="0" w:line="18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u w:val="single" w:color="auto"/>
          <w:color w:val="auto"/>
        </w:rPr>
        <w:t>Publicly Traded Options.</w:t>
      </w:r>
      <w:r>
        <w:rPr>
          <w:rFonts w:ascii="Times New Roman" w:cs="Times New Roman" w:eastAsia="Times New Roman" w:hAnsi="Times New Roman"/>
          <w:sz w:val="18"/>
          <w:szCs w:val="18"/>
          <w:color w:val="auto"/>
        </w:rPr>
        <w:t xml:space="preserve"> Given the relatively short term of publicly traded options, transactions in options may create the appearance that a person or entity subject to this Policy is trading based on material nonpublic information and focus that person’s or entity’s attention on short-term performance at the expense of the Company’s long-term objectives. Accordingly, transactions in put options, call options, or other derivative securities, on an exchange or in any other organized market, are prohibited by this Policy.</w:t>
      </w:r>
    </w:p>
    <w:p>
      <w:pPr>
        <w:spacing w:after="0" w:line="207"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xml:space="preserve"> Standing and limit orders (except standing and limit orders under approved Rule 10b5-1 Plans, discussed below) create heightened risks for insider trading violations similar to the use of margin accounts. There is no control over the timing of purchases or sales that result from standing instructions to a broker, and as a result the broker could execute a transaction when the person or entity subject to this Policy is in possession of material nonpublic information. We therefore discourage placing standing or limit orders on Company Securities. If an Insider determines they must use a standing order or limit order, the order should be limited to short duration and should otherwise comply with the restrictions and procedures outlined below under the subheading “What are the pre-clearance procedures?” below.</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What are the requirements to be followed if an Insider wants to buy or sell Company Securities or exercise stock options? What is the Trading Window?</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additional procedures to assist us in the administration of this Policy, to facilitate compliance with laws prohibiting insider trading while in possession of material nonpublic information, and to avoid the appearance of any impropriety. These procedures include the use of a Trading Window, a period when transactions in Company Securities are permitted (subject to event-specific restrictions) and a pre-clearance process.</w:t>
      </w:r>
    </w:p>
    <w:p>
      <w:pPr>
        <w:spacing w:after="0" w:line="201"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What is the Trading Window? </w:t>
      </w:r>
      <w:r>
        <w:rPr>
          <w:rFonts w:ascii="Times New Roman" w:cs="Times New Roman" w:eastAsia="Times New Roman" w:hAnsi="Times New Roman"/>
          <w:sz w:val="18"/>
          <w:szCs w:val="18"/>
          <w:color w:val="auto"/>
        </w:rPr>
        <w:t>Insiders may conduct any transactions, including the making of a bona fide gift, involving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(other than as specified by this Policy), only during the “Trading Window.” The Trading Window begins two (2) full trading days following the public release of the Company’s quarterly earnings and ends at the close of trading on the tenth (10th) trading day prior to the end of the fiscal quarter when the Trading Window opened.</w:t>
      </w:r>
    </w:p>
    <w:p>
      <w:pPr>
        <w:spacing w:after="0" w:line="20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For example, if we issue our earnings release before the trading day begins on a Monday, the Trading Window would open on Wednesday with the opening of trading on that day. If the earnings release is issued at the end of the trading day on a Monday, the Trading Window would open on Thursday with the opening of trading on that day. In both scenarios, the Trading Window would then close at the close of trading on the tenth (10th) trading day prior to the end of the fiscal quarter when the Trading Window opens.</w:t>
      </w:r>
    </w:p>
    <w:p>
      <w:pPr>
        <w:spacing w:after="0" w:line="205"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Are there other times when a Trading Window may not open or close early? </w:t>
      </w:r>
      <w:r>
        <w:rPr>
          <w:rFonts w:ascii="Times New Roman" w:cs="Times New Roman" w:eastAsia="Times New Roman" w:hAnsi="Times New Roman"/>
          <w:sz w:val="18"/>
          <w:szCs w:val="18"/>
          <w:color w:val="auto"/>
        </w:rPr>
        <w:t>From time to time, an event may occur that is material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is known by only a few Insiders. So long as the event remains material and nonpublic, the people designated by the Compliance Officer may not trade Company Securities, even if the Trading Window is otherwise open. In addition, the Company’s financial results may be sufficiently material in a particular fiscal quarter that, in the judgment of the Compliance Officer, designated people should refrain from trading in Company Securities even sooner than the typical Trading Window described above. The existence of an event-specific trading restriction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w:t>
      </w:r>
    </w:p>
    <w:p>
      <w:pPr>
        <w:spacing w:after="0" w:line="21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Are there exceptions to the Trading Window requirements? </w:t>
      </w:r>
      <w:r>
        <w:rPr>
          <w:rFonts w:ascii="Times New Roman" w:cs="Times New Roman" w:eastAsia="Times New Roman" w:hAnsi="Times New Roman"/>
          <w:sz w:val="18"/>
          <w:szCs w:val="18"/>
          <w:color w:val="auto"/>
        </w:rPr>
        <w:t>The quarterly trading restrictions and event-specific trading restrictions do not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those transactions to which this Policy does not apply, as described above under the headings “How does this Policy apply to transactions under our compensation plans including our 2017 Omnibus Incentive Plan?” and “Does this Policy apply to transactions that do not involve a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99" w:name="page100"/>
    <w:bookmarkEnd w:id="99"/>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sale transaction?” Also, as described in more detail below, the requirements for pre-clearance, the quarterly trading restrictions and event-specific trading restrictions do not apply to transactions conducted pursuant to an approved Rule 10b5-1 plan, described under the heading “What is a Rule 10b5-1 Plan?”</w:t>
      </w:r>
    </w:p>
    <w:p>
      <w:pPr>
        <w:spacing w:after="0" w:line="201"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What are the pre-clearance procedures? </w:t>
      </w:r>
      <w:r>
        <w:rPr>
          <w:rFonts w:ascii="Times New Roman" w:cs="Times New Roman" w:eastAsia="Times New Roman" w:hAnsi="Times New Roman"/>
          <w:sz w:val="18"/>
          <w:szCs w:val="18"/>
          <w:color w:val="auto"/>
        </w:rPr>
        <w:t>For transactions that this Policy applies to, insiders may not engage in any transaction in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without first obtaining pre-clearance of the transaction from the Compliance Officer. A request for pre-clearance should be submitted to the Compliance Officer at least two (2)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they should refrain from initiating any transaction in Company Securities and should not inform any other person of the restriction.</w:t>
      </w:r>
    </w:p>
    <w:p>
      <w:pPr>
        <w:spacing w:after="0" w:line="211"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If the pre-clearance is granted, the pre-clearance is effective for the next two (2) trading days. If the transaction is not completed during that time, a new pre-clearance request is required to be delivered to the Compliance Officer.</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pre-clearance form required to be completed when you are seeking pre-clearance for a transaction is posted on the Company’s intranet site.</w:t>
      </w:r>
    </w:p>
    <w:p>
      <w:pPr>
        <w:spacing w:after="0" w:line="25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When a request for pre-clearance is made, you should carefully consider whether you may be aware of any material nonpublic information about the Company and should fully disclose those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is a Rule 10b5-1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Rule 10b5-1 under the U.S. Securities Exchange Act of 1934 provides a defense from insider trading liability under the SEC’s Rule 10b-5. To be eligible to rely on this defense, a person subject to this Policy must enter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may be obtained from the Compliance Officer. A Rule 10b5-1 Plan must be entered into at a time when the person entering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Rule 10b5-1 Plan must be submitted for approval five (5) business days prior to the entry into the Rule 10b5-1 Plan, unless the Rule 10b5-1 Plan will be implemented through the Company’s Stock Plan Administrator, E*Trade, in which case, it must be submitted for approval two (2) business days prior to entry into the plan. No further pre-approval of transactions conducted pursuant to the Rule 10b5-1 Plan will be required.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Does this Policy apply even after employment with the Company ends?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your employment has ended, you still are prohibited from trading Company Securities if you are in possession of material nonpublic information until that information has become public or is no longer material. The pre-clearance procedures specified in this Policy and Trading Window will not apply.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happens if there is a violation of this Policy?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U.S. federal and state laws. Insider trading violations are pursued vigorously by the SEC, U.S. Attorneys, and state enforcement authorities as well as the laws of foreign jurisdictions. Punishment for insider trading violations is severe and could include significant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corrective action up to and including termination of employment for cause, whether or not the employee’s failure to comply results in a violation of law. Needless to say, a violation of law, or even an SEC investigation that does not result in prosecution, can tarnish your reputation and irreparably damage a career.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can I find additional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policies apply to (1) certain members of our senior management who are designated as “executive officers” pursuant to the SEC’s rules and regulations and (2) the members of the Board of Directors of The Simply Good Foods Company who are obligated to report transactions in Company Securities to the SEC. The Compliance Officer will share these policies with these individuals, and they are responsible to comply with their requirements. Please reach out to the Compliance Officer if you need any additional information about this Policy, the Company’s pre-clearance procedures or Trading Window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additional Company assistance is provided?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Officer. The email account of the Compliance Officer is: ComplianceOfficer@simplygoodfoodsco.com. Please refer to the Company directory for the name and contact information of the Company’s current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are the guidelines established by the Compliance Officer for the creation of Rule 10b5-1 Plans pursuant to the Company’s Insider Trading Policy (the “Policy”). These guidelines may be amended from time to time to maintain compliance with applicable law and any regulations promulgated by the SEC respecting the creation, operation and termination of Rule 10b5-1 plans. Capitalized terms used in these Guidelines without definition have the definition given to those terms in the Policy.</w:t>
      </w:r>
    </w:p>
    <w:p>
      <w:pPr>
        <w:spacing w:after="0" w:line="20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Rule 10b5-1 under the Securities Exchange Act of 1934, as amended, provides a defense from insider trading liability under the SEC’s Rule 10b-5. In order to be eligible to rely on this defense, an Insider must enter into a Rule 10b5-1 plan for transactions in Company Securities (as defined in the Policy) that meets certain conditions specified in the Rule (a “Rule 10b5-1 Plan”). If the plan meets the requirements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Company Securities may be purchased or sold without regard to certain of the Policy’s restrictions and limitations. A Rule 10b5-1 Plan may only be entered into at a time when the person establishing the plan is acting in good faith and not aware of material nonpublic information regarding the Company.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specified in the Company’s Policy, a Rule 10b5-1 Plan must be approved by the Compliance Officer and meet the requirements of Rule 10b5-1 and these guidelines. In limited circumstances, the Compliance Officer may grant a waiver of one or more of these guidelines in their sole discretion. Any Rule 10b5-1 Plan must be submitted for approval five (5) business days prior to the entry into the Rule 10b5-1 Plan, unless the Rule 10b5-1 Plan will be implemented through the Company’s Stock Plan Administrator, E*Trade, in which case, it must be submitted for approval two (2) business days prior to entry therein. No further pre-approval of transactions conducted pursuant to the Rule 10b5-1 Plan will be required.</w:t>
      </w:r>
    </w:p>
    <w:p>
      <w:pPr>
        <w:spacing w:after="0" w:line="2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You are responsible for ensuring you comply with all SEC rules and regulations related to the creation of a Rule 10b5-1 Plan. The Company’s approval of any Rule 10b5-1 Plan documentation shall in no way whatsoever create any liability for the Company should your Rule 10b5-1 Plan not comply with these rules and regulations, and as a result, the affirmative defense contemplated by a Rule 10b5-1 Plan is not available to you.</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52" w:lineRule="exact"/>
        <w:rPr>
          <w:sz w:val="20"/>
          <w:szCs w:val="20"/>
          <w:color w:val="auto"/>
        </w:rPr>
      </w:pPr>
    </w:p>
    <w:p>
      <w:pPr>
        <w:ind w:left="1140" w:right="140" w:hanging="322"/>
        <w:spacing w:after="0" w:line="282" w:lineRule="auto"/>
        <w:tabs>
          <w:tab w:leader="none" w:pos="1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enter into, modify or terminate a Rule 10b5-1 Plan only during a Trading Window and when you are otherwise not in possession of material nonpublic information.</w:t>
      </w:r>
    </w:p>
    <w:p>
      <w:pPr>
        <w:spacing w:after="0" w:line="188"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enter into, modify or terminate a Rule 10b5-1 Plan only in good faith and you must act in good faith under the Rule 10b5-1 Plan.</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6 months and no more than 2 years.</w:t>
      </w:r>
    </w:p>
    <w:p>
      <w:pPr>
        <w:spacing w:after="0" w:line="252" w:lineRule="exact"/>
        <w:rPr>
          <w:rFonts w:ascii="Times New Roman" w:cs="Times New Roman" w:eastAsia="Times New Roman" w:hAnsi="Times New Roman"/>
          <w:sz w:val="18"/>
          <w:szCs w:val="18"/>
          <w:color w:val="auto"/>
        </w:rPr>
      </w:pPr>
    </w:p>
    <w:p>
      <w:pPr>
        <w:jc w:val="both"/>
        <w:ind w:left="1140" w:right="300" w:hanging="322"/>
        <w:spacing w:after="0" w:line="257" w:lineRule="auto"/>
        <w:tabs>
          <w:tab w:leader="none" w:pos="1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member of the Board of Directors or Section 16 insider who adopts or modifies a Rule 10b5-1 Plan, you will be required to include a representation in the Rule 10b5-1 Plan certifying that at the time of the adoption of the new or modified Rule 10b5-1 Plan you are:</w:t>
      </w:r>
    </w:p>
    <w:p>
      <w:pPr>
        <w:spacing w:after="0" w:line="1"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aware of material non-public information about the Company or its securities, and</w:t>
      </w:r>
    </w:p>
    <w:p>
      <w:pPr>
        <w:spacing w:after="0" w:line="9"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the Rule 10b5-1 Plan in good faith and not as part of a plan or scheme to evade the prohibitions of Rule 10b-5.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00" w:right="359" w:bottom="1440" w:gutter="0" w:footer="0" w:header="0"/>
        </w:sectPr>
      </w:pPr>
    </w:p>
    <w:bookmarkStart w:id="102" w:name="page103"/>
    <w:bookmarkEnd w:id="102"/>
    <w:p>
      <w:pPr>
        <w:ind w:left="1140" w:right="40" w:hanging="322"/>
        <w:spacing w:after="0" w:line="276" w:lineRule="auto"/>
        <w:tabs>
          <w:tab w:leader="none" w:pos="113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member of the Board of Directors or Section 16 insider who adopts or modifies a Rule 10b5-1 Plan, you will not be able to rely on the Rule 10b5-1 affirmative defense unless the Rule 10b5-1 Plan provides that trading under the plan will not begin until the later of:</w:t>
      </w:r>
    </w:p>
    <w:p>
      <w:pPr>
        <w:ind w:left="1780" w:hanging="314"/>
        <w:spacing w:after="0"/>
        <w:tabs>
          <w:tab w:leader="none" w:pos="17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 adoption of the Rule 10b5-1 plan, and</w:t>
      </w:r>
    </w:p>
    <w:p>
      <w:pPr>
        <w:spacing w:after="0" w:line="9" w:lineRule="exact"/>
        <w:rPr>
          <w:rFonts w:ascii="Times New Roman" w:cs="Times New Roman" w:eastAsia="Times New Roman" w:hAnsi="Times New Roman"/>
          <w:sz w:val="18"/>
          <w:szCs w:val="18"/>
          <w:color w:val="auto"/>
        </w:rPr>
      </w:pPr>
    </w:p>
    <w:p>
      <w:pPr>
        <w:ind w:left="1800" w:right="120" w:hanging="334"/>
        <w:spacing w:after="0" w:line="255" w:lineRule="auto"/>
        <w:tabs>
          <w:tab w:leader="none" w:pos="17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business days following the disclosure of the Company’s financial results in a Form 10-Q or Form 10-K for the fiscal quarter in which the plan was adopted (but in any event, the required cooling-off period is subject to a maximum of 120 days after adoption of the Rule 10b5-1 plan)</w:t>
      </w:r>
    </w:p>
    <w:p>
      <w:pPr>
        <w:spacing w:after="0" w:line="21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neither a member of the Board of Directors nor a Section 16 insider, you may not commence sales under a Rule 10b5-1 Plan until at least 30 days following the date of establishment of the plan. Any modification of a plan must not take effect for at least 30 days from the date of modification.</w:t>
      </w:r>
    </w:p>
    <w:p>
      <w:pPr>
        <w:spacing w:after="0" w:line="20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you must wait at least 30 days before trading outside of the Rule 10b5-1 Plan.</w:t>
      </w:r>
    </w:p>
    <w:p>
      <w:pPr>
        <w:spacing w:after="0" w:line="252"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you must wait until the commencement of the next Trading Window before a new Rule 10b5-1 Plan may be adopted, and the applicable period of time before any trades may take place under the new plan has expired.</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Board member and other Section 16 insider understands that the approval or adoption of a Rule 10b5-1 Plan in no way reduces or eliminates such person’s obligations under Section 16 of the Securities Exchange Act of 1934, as amended, or Rule 144 of the Securities Act of 1933, as amended, including such person’s disclosure and short-swing trading liabilities thereunder. If any questions arise, such person should consult with their own counsel in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17"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b w:val="1"/>
          <w:bCs w:val="1"/>
          <w:u w:val="single" w:color="auto"/>
          <w:color w:val="auto"/>
        </w:rPr>
        <w:t>Subsidiaries of The Simply Good Foods Company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9"/>
              </w:rPr>
              <w:t>Jurisdiction</w:t>
            </w:r>
          </w:p>
        </w:tc>
        <w:tc>
          <w:tcPr>
            <w:tcW w:w="0" w:type="dxa"/>
            <w:vAlign w:val="bottom"/>
          </w:tcPr>
          <w:p>
            <w:pPr>
              <w:spacing w:after="0"/>
              <w:rPr>
                <w:sz w:val="1"/>
                <w:szCs w:val="1"/>
                <w:color w:val="auto"/>
              </w:rPr>
            </w:pPr>
          </w:p>
        </w:tc>
      </w:tr>
      <w:tr>
        <w:trPr>
          <w:trHeight w:val="2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Atkins Intermediate Holdings, LLC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Conyers Park Acquisition Corp., Inc.</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NCP-ATK Holdings, Inc.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Atkins Nutritional Holdings, Inc.</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Atkins Nutritional Holdings II, Inc.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Simply Good Foods USA, Inc.</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5"/>
              </w:rPr>
              <w:t>New York</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Simply Good Foods Canada Inc.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7"/>
              </w:rPr>
              <w:t>Ontario, Canada</w:t>
            </w: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rPr>
              <w:t>Simply Good Foods Australia PTY</w:t>
            </w:r>
          </w:p>
        </w:tc>
        <w:tc>
          <w:tcPr>
            <w:tcW w:w="4700" w:type="dxa"/>
            <w:vAlign w:val="bottom"/>
            <w:vMerge w:val="restart"/>
          </w:tcPr>
          <w:p>
            <w:pPr>
              <w:jc w:val="center"/>
              <w:ind w:right="632"/>
              <w:spacing w:after="0"/>
              <w:rPr>
                <w:sz w:val="20"/>
                <w:szCs w:val="20"/>
                <w:color w:val="auto"/>
              </w:rPr>
            </w:pPr>
            <w:r>
              <w:rPr>
                <w:rFonts w:ascii="Times New Roman" w:cs="Times New Roman" w:eastAsia="Times New Roman" w:hAnsi="Times New Roman"/>
                <w:sz w:val="22"/>
                <w:szCs w:val="22"/>
                <w:color w:val="auto"/>
                <w:w w:val="99"/>
              </w:rPr>
              <w:t>Australia</w:t>
            </w:r>
          </w:p>
        </w:tc>
        <w:tc>
          <w:tcPr>
            <w:tcW w:w="0" w:type="dxa"/>
            <w:vAlign w:val="bottom"/>
          </w:tcPr>
          <w:p>
            <w:pPr>
              <w:spacing w:after="0"/>
              <w:rPr>
                <w:sz w:val="1"/>
                <w:szCs w:val="1"/>
                <w:color w:val="auto"/>
              </w:rPr>
            </w:pPr>
          </w:p>
        </w:tc>
      </w:tr>
      <w:tr>
        <w:trPr>
          <w:trHeight w:val="283"/>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LTD</w:t>
            </w:r>
          </w:p>
        </w:tc>
        <w:tc>
          <w:tcPr>
            <w:tcW w:w="4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Simply Good Foods NZ Limited</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8"/>
              </w:rPr>
              <w:t>New Zealand</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VMG Quest Blocker, Inc.</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Voyage Holdings, LLC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Quest Nutrition, LLC</w:t>
            </w:r>
          </w:p>
        </w:tc>
        <w:tc>
          <w:tcPr>
            <w:tcW w:w="4700" w:type="dxa"/>
            <w:vAlign w:val="bottom"/>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Only What You Need, Inc.</w:t>
            </w:r>
          </w:p>
        </w:tc>
        <w:tc>
          <w:tcPr>
            <w:tcW w:w="4700" w:type="dxa"/>
            <w:vAlign w:val="bottom"/>
            <w:shd w:val="clear" w:color="auto" w:fill="CCEEFF"/>
          </w:tcPr>
          <w:p>
            <w:pPr>
              <w:jc w:val="center"/>
              <w:ind w:right="632"/>
              <w:spacing w:after="0"/>
              <w:rPr>
                <w:sz w:val="20"/>
                <w:szCs w:val="20"/>
                <w:color w:val="auto"/>
              </w:rPr>
            </w:pPr>
            <w:r>
              <w:rPr>
                <w:rFonts w:ascii="Times New Roman" w:cs="Times New Roman" w:eastAsia="Times New Roman" w:hAnsi="Times New Roman"/>
                <w:sz w:val="22"/>
                <w:szCs w:val="22"/>
                <w:color w:val="auto"/>
                <w:w w:val="99"/>
              </w:rPr>
              <w:t>Delaware</w:t>
            </w:r>
          </w:p>
        </w:tc>
        <w:tc>
          <w:tcPr>
            <w:tcW w:w="0" w:type="dxa"/>
            <w:vAlign w:val="bottom"/>
          </w:tcPr>
          <w:p>
            <w:pPr>
              <w:spacing w:after="0"/>
              <w:rPr>
                <w:sz w:val="1"/>
                <w:szCs w:val="1"/>
                <w:color w:val="auto"/>
              </w:rPr>
            </w:pPr>
          </w:p>
        </w:tc>
      </w:tr>
    </w:tbl>
    <w:p>
      <w:pPr>
        <w:sectPr>
          <w:pgSz w:w="11900" w:h="16838" w:orient="portrait"/>
          <w:cols w:equalWidth="0" w:num="1">
            <w:col w:w="10220"/>
          </w:cols>
          <w:pgMar w:left="1340" w:top="89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333-220776 on Form S-8 and Nos. 333-228696 and 333-234004 on Form S-3 of our reports dated October 29, 2024,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year ended August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2024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47"/>
        </w:trPr>
        <w:tc>
          <w:tcPr>
            <w:tcW w:w="2320" w:type="dxa"/>
            <w:vAlign w:val="bottom"/>
            <w:vMerge w:val="restart"/>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32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P. Mara, certify that:</w:t>
      </w:r>
    </w:p>
    <w:p>
      <w:pPr>
        <w:spacing w:after="0" w:line="225" w:lineRule="exact"/>
        <w:rPr>
          <w:sz w:val="20"/>
          <w:szCs w:val="20"/>
          <w:color w:val="auto"/>
        </w:rPr>
      </w:pPr>
    </w:p>
    <w:p>
      <w:pPr>
        <w:ind w:left="420" w:hanging="232"/>
        <w:spacing w:after="0"/>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2024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59"/>
        </w:trPr>
        <w:tc>
          <w:tcPr>
            <w:tcW w:w="232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Simply Good Foods Company (the “Company”) on Form 10-K for the fiscal year ended August 31, 2024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2024</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2024</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color w:val="auto"/>
        </w:rPr>
        <w:t>THE SIMPLY GOOD FOODS COMPANY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Rule 10D-1 Incentive Compensation Recovery Policy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by the Board of Directors: July 13, 2023</w:t>
      </w:r>
    </w:p>
    <w:p>
      <w:pPr>
        <w:spacing w:after="0" w:line="25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purpose of the Simply Good Foods Company Rule 10D-11 Incentive Compensation Recovery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to provide for the recovery of certain Incentive-Based Compensation in the event of an Accounting Restatement as defined below. This Policy is intended to comply with, and to be administered and interpreted consistent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b w:val="1"/>
          <w:bCs w:val="1"/>
          <w:color w:val="auto"/>
        </w:rPr>
        <w:t>Rule 10D-1</w:t>
      </w:r>
      <w:r>
        <w:rPr>
          <w:rFonts w:ascii="Times New Roman" w:cs="Times New Roman" w:eastAsia="Times New Roman" w:hAnsi="Times New Roman"/>
          <w:sz w:val="18"/>
          <w:szCs w:val="18"/>
          <w:color w:val="auto"/>
        </w:rPr>
        <w:t>”), and Listing Rule 5608 adopted by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Standards</w:t>
      </w:r>
      <w:r>
        <w:rPr>
          <w:rFonts w:ascii="Times New Roman" w:cs="Times New Roman" w:eastAsia="Times New Roman" w:hAnsi="Times New Roman"/>
          <w:sz w:val="18"/>
          <w:szCs w:val="18"/>
          <w:color w:val="auto"/>
        </w:rPr>
        <w:t>”). Unless otherwise defined in this Policy, capitalized terms shall have the meanings set forth in Section 10 below.</w:t>
      </w:r>
    </w:p>
    <w:p>
      <w:pPr>
        <w:spacing w:after="0" w:line="20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Policy for Recovery of Erroneously Awarded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of an Accounting Restatement, the Company will recover reasonably promptly the amount of any Erroneously Awarded Compensation Received by an Executive Officer during the Recovery Period.</w:t>
      </w:r>
    </w:p>
    <w:p>
      <w:pPr>
        <w:spacing w:after="0" w:line="18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52"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This Policy shall be administered by the Compensation Committee, except that the Board may determine to act as the administrator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another committee of the Board to act as the administrator with respect to any portion of this Policy other than Section 3.3 (the “Administrator”). The Administrator is authorized to interpret and construe this Policy and to make all determinations necessary, appropriate, or advisable for the administration of this Policy.</w:t>
      </w:r>
    </w:p>
    <w:p>
      <w:pPr>
        <w:spacing w:after="0" w:line="19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Administrator is authorized to take appropriate steps to implement this Policy and may effect recovery hereunder by: (i)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the Company, (ii) set-off, (iii) reducing compensation, or (iv) such other means or combination of means as the Administrator determines to be appropriate.</w:t>
      </w:r>
    </w:p>
    <w:p>
      <w:pPr>
        <w:spacing w:after="0" w:line="203"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The Company need not recover Erroneously Awarded Compensation if and to the extent that the Compensation Committee determines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recovery is impracticable and not required under Rule 10D-1 and the Listing Standards because: (i) the direct expense paid to a third party to assist in enforcing this Policy would exceed the amount to be recovered after making a reasonable attempt to recover, (ii) recovery would violate home country law adopted prior to November 28, 2022, after obtaining the opinion of home country counsel acceptable to Nasdaq, or (iii) recovery would likely cause an otherwise tax-qualified broad-based retirement plan to fail the requirements of Section 401(a)(13) or Section 411(a) of the Internal Revenue Code of 1986, as amended, and regulations thereunder.</w:t>
      </w:r>
    </w:p>
    <w:p>
      <w:pPr>
        <w:spacing w:after="0" w:line="2"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Any determinations made by the Administrator under this Policy shall be final and binding on all affected individuals and need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uniform with respect to each individual covered by this Policy.</w:t>
      </w:r>
    </w:p>
    <w:p>
      <w:pPr>
        <w:spacing w:after="0" w:line="205"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Recovery Rights; Company Claims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right of recovery pursuant to this Policy is in addition to, and not in lieu of, any other remedies or rights of recovery that may be available to the Company under applicable law or pursuant to the terms of any other compensation recovery policy of the Company that may be in effect from time to time, including in any employment agreement, plan or award agreement, or similar agreement and any other legal remedies available to the Company. Nothing contained in this Policy and no recovery hereunder shall limit any claims, damages, or other legal remedies the Company may have against an individual arising out of or resulting from any actions or omissions by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09" w:name="page110"/>
    <w:bookmarkEnd w:id="109"/>
    <w:p>
      <w:pPr>
        <w:ind w:left="180" w:hanging="172"/>
        <w:spacing w:after="0"/>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and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federal securities laws.</w:t>
      </w:r>
    </w:p>
    <w:p>
      <w:pPr>
        <w:spacing w:after="0" w:line="248"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Prohibition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terms of any indemnification or insurance policy or any contractual arrangement that may be interpreted to the contrary, the Company shall not indemnify any individual with respect to amount(s) recovered under this Policy or claims relating to the enforcement of this Policy, including any payment or reimbursement for the cost of third-party insurance purchased by such individual to fund potential clawback obligations hereunder.</w:t>
      </w:r>
    </w:p>
    <w:p>
      <w:pPr>
        <w:spacing w:after="0" w:line="199"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or the Compensation Committee may amend or terminate this Policy from time to time in its discretion as it deems appropriate and shall amend this policy as it deems necessary to comply with applicable law or any rules or standards adopted by a national securities exchange or association on which the Company’s securities are listed; provided, however, that no amendment or termination of this Policy shall be effective to the extent it would cause the Company to violate any federal securities laws, Securities and Exchange Commission rule or the rules or standards of any national securities exchange or association on which the Company’s securities are listed.</w:t>
      </w:r>
    </w:p>
    <w:p>
      <w:pPr>
        <w:spacing w:after="0" w:line="206"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individuals who are or were Executive Officers and their beneficiaries, heirs, executors, administrators, or other legal representatives.</w:t>
      </w:r>
    </w:p>
    <w:p>
      <w:pPr>
        <w:spacing w:after="0" w:line="200" w:lineRule="exact"/>
        <w:rPr>
          <w:sz w:val="20"/>
          <w:szCs w:val="20"/>
          <w:color w:val="auto"/>
        </w:rPr>
      </w:pPr>
    </w:p>
    <w:p>
      <w:pPr>
        <w:spacing w:after="0" w:line="228"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effective only for Incentive-Based Compensation Received by an Executive Officer on or after the Effective Date.</w:t>
      </w:r>
    </w:p>
    <w:p>
      <w:pPr>
        <w:spacing w:after="0" w:line="248" w:lineRule="exact"/>
        <w:rPr>
          <w:sz w:val="20"/>
          <w:szCs w:val="20"/>
          <w:color w:val="auto"/>
        </w:rPr>
      </w:pPr>
    </w:p>
    <w:p>
      <w:pPr>
        <w:ind w:left="280" w:hanging="272"/>
        <w:spacing w:after="0"/>
        <w:tabs>
          <w:tab w:leader="none" w:pos="2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Policy, the following terms shall have the meanings set forth below:</w:t>
      </w:r>
    </w:p>
    <w:p>
      <w:pPr>
        <w:spacing w:after="0" w:line="23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10.1. “Accounting Restatement” </w:t>
      </w:r>
      <w:r>
        <w:rPr>
          <w:rFonts w:ascii="Times New Roman" w:cs="Times New Roman" w:eastAsia="Times New Roman" w:hAnsi="Times New Roman"/>
          <w:sz w:val="18"/>
          <w:szCs w:val="18"/>
          <w:color w:val="auto"/>
        </w:rPr>
        <w:t>means an accounting restatement of the Company’s financial statements due to the Company’s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noncompliance with any financial reporting requirement under the securities laws, including any accounting restatement required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 xml:space="preserve">“Administrator” </w:t>
      </w:r>
      <w:r>
        <w:rPr>
          <w:rFonts w:ascii="Times New Roman" w:cs="Times New Roman" w:eastAsia="Times New Roman" w:hAnsi="Times New Roman"/>
          <w:sz w:val="17"/>
          <w:szCs w:val="17"/>
          <w:color w:val="auto"/>
        </w:rPr>
        <w:t>has the meaning set forth in Section 3.1 hereof.</w:t>
      </w:r>
    </w:p>
    <w:p>
      <w:pPr>
        <w:spacing w:after="0" w:line="2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means the Company’s Board of Directors.</w:t>
      </w:r>
    </w:p>
    <w:p>
      <w:pPr>
        <w:spacing w:after="0" w:line="2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means The Simply Good Foods Company, a Delaware corporation, and its affiliates.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10.5.</w:t>
        <w:tab/>
        <w:t xml:space="preserve">“Committee” </w:t>
      </w:r>
      <w:r>
        <w:rPr>
          <w:rFonts w:ascii="Times New Roman" w:cs="Times New Roman" w:eastAsia="Times New Roman" w:hAnsi="Times New Roman"/>
          <w:sz w:val="18"/>
          <w:szCs w:val="18"/>
          <w:color w:val="auto"/>
        </w:rPr>
        <w:t>means the Compensation Committee of the Board.</w:t>
      </w:r>
    </w:p>
    <w:p>
      <w:pPr>
        <w:spacing w:after="0" w:line="23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 xml:space="preserve">“Effective Date” </w:t>
      </w:r>
      <w:r>
        <w:rPr>
          <w:rFonts w:ascii="Times New Roman" w:cs="Times New Roman" w:eastAsia="Times New Roman" w:hAnsi="Times New Roman"/>
          <w:sz w:val="17"/>
          <w:szCs w:val="17"/>
          <w:color w:val="auto"/>
        </w:rPr>
        <w:t>means October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660"/>
        <w:spacing w:after="0"/>
        <w:rPr>
          <w:sz w:val="20"/>
          <w:szCs w:val="20"/>
          <w:color w:val="auto"/>
        </w:rPr>
      </w:pPr>
      <w:r>
        <w:rPr>
          <w:rFonts w:ascii="Times New Roman" w:cs="Times New Roman" w:eastAsia="Times New Roman" w:hAnsi="Times New Roman"/>
          <w:sz w:val="18"/>
          <w:szCs w:val="18"/>
          <w:b w:val="1"/>
          <w:bCs w:val="1"/>
          <w:color w:val="auto"/>
        </w:rPr>
        <w:t xml:space="preserve">10.7. “Erroneously Awarded Compensation” </w:t>
      </w:r>
      <w:r>
        <w:rPr>
          <w:rFonts w:ascii="Times New Roman" w:cs="Times New Roman" w:eastAsia="Times New Roman" w:hAnsi="Times New Roman"/>
          <w:sz w:val="18"/>
          <w:szCs w:val="18"/>
          <w:color w:val="auto"/>
        </w:rPr>
        <w:t>means the amount, as determined by the Administrator, of Incentive-Based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an Executive Officer that exceeds the amount of Incentive-Based Compensation that would have been received by the Executive Officer had it been determined based on the restated amounts. For Incentive-Based Compensation based on stock price or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the Administrator will determine the amount based on a reasonable estimate of the effect of the Accounting Restatement on the stock price or TSR upon which the Incentive-Based Compensation was received, and the Company will maintain documentation of the determination of that reasonable estimate and provide the documentation to Nasdaq. In all cases, the amount to be recovered will be calculated without regard to any taxes paid by the Executive Officer with respect of the Erroneously Awarded Compensation.</w:t>
      </w:r>
    </w:p>
    <w:p>
      <w:pPr>
        <w:spacing w:after="0" w:line="198"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10.8. “Executive Officers” </w:t>
      </w:r>
      <w:r>
        <w:rPr>
          <w:rFonts w:ascii="Times New Roman" w:cs="Times New Roman" w:eastAsia="Times New Roman" w:hAnsi="Times New Roman"/>
          <w:sz w:val="18"/>
          <w:szCs w:val="18"/>
          <w:color w:val="auto"/>
        </w:rPr>
        <w:t>means the Company’s current and former executive officers as determined by the Administrator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10D-1 and the Listing Standards. Generally, Executive Officers include any executive officer designated by the Board as an “officer” under Rule 16a-1(f) under the Exchange Act.</w:t>
      </w:r>
    </w:p>
    <w:p>
      <w:pPr>
        <w:spacing w:after="0" w:line="200" w:lineRule="exact"/>
        <w:rPr>
          <w:sz w:val="20"/>
          <w:szCs w:val="20"/>
          <w:color w:val="auto"/>
        </w:rPr>
      </w:pPr>
    </w:p>
    <w:p>
      <w:pPr>
        <w:spacing w:after="0" w:line="2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10.9. “Financial Reporting Measure” </w:t>
      </w:r>
      <w:r>
        <w:rPr>
          <w:rFonts w:ascii="Times New Roman" w:cs="Times New Roman" w:eastAsia="Times New Roman" w:hAnsi="Times New Roman"/>
          <w:sz w:val="18"/>
          <w:szCs w:val="18"/>
          <w:color w:val="auto"/>
        </w:rPr>
        <w:t>means (i) any measure that is determined and presented in accordance with the accounting principles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the Company’s financial statements and any measure derived wholly or in part from such a measure, and (ii) any measure based wholly or in part on the Company’s stock price or total shareholder return. A Financial Reporting Measure need not be presented within the Company’s financial statements or included in a filing with the Securities and Exchange Commission.</w:t>
      </w:r>
    </w:p>
    <w:p>
      <w:pPr>
        <w:spacing w:after="0" w:line="19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10.10. “Incentive-Based Compensation” </w:t>
      </w:r>
      <w:r>
        <w:rPr>
          <w:rFonts w:ascii="Times New Roman" w:cs="Times New Roman" w:eastAsia="Times New Roman" w:hAnsi="Times New Roman"/>
          <w:sz w:val="18"/>
          <w:szCs w:val="18"/>
          <w:color w:val="auto"/>
        </w:rPr>
        <w:t>means any compensation granted, earned, or vested based in whole or in part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attainment of a Financial Reporting Measure that was Received by an individual (i) on or after the Effective Date and after such individual began service as an Executive Officer, (ii) who served as an Executive Officer at any time during the performance period for the Incentive-Based Compensation and (iii) while the Company had a listed class of securities on a national securities exchange or association.</w:t>
      </w:r>
    </w:p>
    <w:p>
      <w:pPr>
        <w:spacing w:after="0" w:line="204"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10.11. </w:t>
      </w:r>
      <w:r>
        <w:rPr>
          <w:rFonts w:ascii="Times New Roman" w:cs="Times New Roman" w:eastAsia="Times New Roman" w:hAnsi="Times New Roman"/>
          <w:sz w:val="18"/>
          <w:szCs w:val="18"/>
          <w:color w:val="auto"/>
        </w:rPr>
        <w:t>Incentive-Based Compensation is deemed to be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 the Company’s fiscal period during which the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 specified in the Incentive-Based Compensation award is attained, even if the payment or grant of such Incentive-Based Compensation occurs after the end of that period.</w:t>
      </w:r>
    </w:p>
    <w:p>
      <w:pPr>
        <w:spacing w:after="0" w:line="198"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10.12. “Recovery Period” </w:t>
      </w:r>
      <w:r>
        <w:rPr>
          <w:rFonts w:ascii="Times New Roman" w:cs="Times New Roman" w:eastAsia="Times New Roman" w:hAnsi="Times New Roman"/>
          <w:sz w:val="18"/>
          <w:szCs w:val="18"/>
          <w:color w:val="auto"/>
        </w:rPr>
        <w:t>means the three completed fiscal years immediately preceding the date that the Company is required to prepare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Accounting Restatement and any “transition period” as described under Rule 10D-1 and the Listing Standards. For purposes of this Policy, the “</w:t>
      </w:r>
      <w:r>
        <w:rPr>
          <w:rFonts w:ascii="Times New Roman" w:cs="Times New Roman" w:eastAsia="Times New Roman" w:hAnsi="Times New Roman"/>
          <w:sz w:val="18"/>
          <w:szCs w:val="18"/>
          <w:b w:val="1"/>
          <w:bCs w:val="1"/>
          <w:color w:val="auto"/>
        </w:rPr>
        <w:t>date that the Company is required to prepare the applicable Accounting Restatement</w:t>
      </w:r>
      <w:r>
        <w:rPr>
          <w:rFonts w:ascii="Times New Roman" w:cs="Times New Roman" w:eastAsia="Times New Roman" w:hAnsi="Times New Roman"/>
          <w:sz w:val="18"/>
          <w:szCs w:val="18"/>
          <w:color w:val="auto"/>
        </w:rPr>
        <w:t>” is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lowerLetter"/>
      <w:start w:val="4"/>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1."/>
      <w:numFmt w:val="lowerRoman"/>
      <w:start w:val="1"/>
    </w:lvl>
  </w:abstractNum>
  <w:abstractNum w:abstractNumId="31">
    <w:nsid w:val="32FFF902"/>
    <w:multiLevelType w:val="hybridMultilevel"/>
    <w:lvl w:ilvl="0">
      <w:lvlJc w:val="left"/>
      <w:lvlText w:val="%1."/>
      <w:numFmt w:val="lowerRoman"/>
      <w:start w:val="2"/>
    </w:lvl>
  </w:abstractNum>
  <w:abstractNum w:abstractNumId="32">
    <w:nsid w:val="684A481A"/>
    <w:multiLevelType w:val="hybridMultilevel"/>
    <w:lvl w:ilvl="0">
      <w:lvlJc w:val="left"/>
      <w:lvlText w:val="•"/>
      <w:numFmt w:val="bullet"/>
      <w:start w:val="1"/>
    </w:lvl>
    <w:lvl w:ilvl="1">
      <w:lvlJc w:val="left"/>
      <w:lvlText w:val="◦"/>
      <w:numFmt w:val="bullet"/>
      <w:start w:val="1"/>
    </w:lvl>
  </w:abstractNum>
  <w:abstractNum w:abstractNumId="33">
    <w:nsid w:val="579478FE"/>
    <w:multiLevelType w:val="hybridMultilevel"/>
    <w:lvl w:ilvl="0">
      <w:lvlJc w:val="left"/>
      <w:lvlText w:val="•"/>
      <w:numFmt w:val="bullet"/>
      <w:start w:val="1"/>
    </w:lvl>
    <w:lvl w:ilvl="1">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4"/>
    </w:lvl>
  </w:abstractNum>
  <w:abstractNum w:abstractNumId="36">
    <w:nsid w:val="1BA026FA"/>
    <w:multiLevelType w:val="hybridMultilevel"/>
    <w:lvl w:ilvl="0">
      <w:lvlJc w:val="left"/>
      <w:lvlText w:val="%1."/>
      <w:numFmt w:val="decimal"/>
      <w:start w:val="6"/>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decimal"/>
      <w:start w:val="9"/>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04"/>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lvl w:ilvl="1">
      <w:lvlJc w:val="left"/>
      <w:lvlText w:val="▪"/>
      <w:numFmt w:val="bullet"/>
      <w:start w:val="1"/>
    </w:lvl>
  </w:abstractNum>
  <w:abstractNum w:abstractNumId="49">
    <w:nsid w:val="180115BE"/>
    <w:multiLevelType w:val="hybridMultilevel"/>
    <w:lvl w:ilvl="0">
      <w:lvlJc w:val="left"/>
      <w:lvlText w:val="•"/>
      <w:numFmt w:val="bullet"/>
      <w:start w:val="1"/>
    </w:lvl>
    <w:lvl w:ilvl="1">
      <w:lvlJc w:val="left"/>
      <w:lvlText w:val="▪"/>
      <w:numFmt w:val="bullet"/>
      <w:start w:val="1"/>
    </w:lvl>
  </w:abstractNum>
  <w:abstractNum w:abstractNumId="50">
    <w:nsid w:val="235BA86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51">
    <w:nsid w:val="47398C89"/>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52">
    <w:nsid w:val="354FE9F9"/>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53">
    <w:nsid w:val="15B5AF5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54">
    <w:nsid w:val="741226BB"/>
    <w:multiLevelType w:val="hybridMultilevel"/>
    <w:lvl w:ilvl="0">
      <w:lvlJc w:val="left"/>
      <w:lvlText w:val="%1."/>
      <w:numFmt w:val="decimal"/>
      <w:start w:val="1"/>
    </w:lvl>
    <w:lvl w:ilvl="1">
      <w:lvlJc w:val="left"/>
      <w:lvlText w:val="%2."/>
      <w:numFmt w:val="decimal"/>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1."/>
      <w:numFmt w:val="decimal"/>
      <w:start w:val="3"/>
    </w:lvl>
  </w:abstractNum>
  <w:abstractNum w:abstractNumId="58">
    <w:nsid w:val="61574095"/>
    <w:multiLevelType w:val="hybridMultilevel"/>
    <w:lvl w:ilvl="0">
      <w:lvlJc w:val="left"/>
      <w:lvlText w:val="%1."/>
      <w:numFmt w:val="decimal"/>
      <w:start w:val="4"/>
    </w:lvl>
  </w:abstractNum>
  <w:abstractNum w:abstractNumId="59">
    <w:nsid w:val="7E0C57B1"/>
    <w:multiLevelType w:val="hybridMultilevel"/>
    <w:lvl w:ilvl="0">
      <w:lvlJc w:val="left"/>
      <w:lvlText w:val="%1."/>
      <w:numFmt w:val="decimal"/>
      <w:start w:val="5"/>
    </w:lvl>
  </w:abstractNum>
  <w:abstractNum w:abstractNumId="60">
    <w:nsid w:val="77AE35EB"/>
    <w:multiLevelType w:val="hybridMultilevel"/>
    <w:lvl w:ilvl="0">
      <w:lvlJc w:val="left"/>
      <w:lvlText w:val="%1."/>
      <w:numFmt w:val="decimal"/>
      <w:start w:val="6"/>
    </w:lvl>
  </w:abstractNum>
  <w:abstractNum w:abstractNumId="61">
    <w:nsid w:val="579BE4F1"/>
    <w:multiLevelType w:val="hybridMultilevel"/>
    <w:lvl w:ilvl="0">
      <w:lvlJc w:val="left"/>
      <w:lvlText w:val="%1."/>
      <w:numFmt w:val="decimal"/>
      <w:start w:val="7"/>
    </w:lvl>
  </w:abstractNum>
  <w:abstractNum w:abstractNumId="62">
    <w:nsid w:val="310C50B3"/>
    <w:multiLevelType w:val="hybridMultilevel"/>
    <w:lvl w:ilvl="0">
      <w:lvlJc w:val="left"/>
      <w:lvlText w:val="%1."/>
      <w:numFmt w:val="decimal"/>
      <w:start w:val="8"/>
    </w:lvl>
  </w:abstractNum>
  <w:abstractNum w:abstractNumId="63">
    <w:nsid w:val="5FF87E05"/>
    <w:multiLevelType w:val="hybridMultilevel"/>
    <w:lvl w:ilvl="0">
      <w:lvlJc w:val="left"/>
      <w:lvlText w:val="%1."/>
      <w:numFmt w:val="decimal"/>
      <w:start w:val="9"/>
    </w:lvl>
  </w:abstractNum>
  <w:abstractNum w:abstractNumId="64">
    <w:nsid w:val="2F305DE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jpeg"/><Relationship Id="rId107" Type="http://schemas.openxmlformats.org/officeDocument/2006/relationships/hyperlink" Target="https://www.sec.gov/ix?doc=/Archives/edgar/data/1702744/000110465924054943/tm2413019d1_8k.htm" TargetMode="External"/><Relationship Id="rId108" Type="http://schemas.openxmlformats.org/officeDocument/2006/relationships/hyperlink" Target="https://www.sec.gov/ix?doc=/Archives/edgar/data/1702744/000110465924006301/tm243731d2_8ka.htm" TargetMode="External"/><Relationship Id="rId109" Type="http://schemas.openxmlformats.org/officeDocument/2006/relationships/hyperlink" Target="https://www.sec.gov/ix?doc=/Archives/edgar/data/1702744/000170274423000063/smpl-20230713.htm" TargetMode="External"/><Relationship Id="rId110" Type="http://schemas.openxmlformats.org/officeDocument/2006/relationships/hyperlink" Target="https://www.sec.gov/Archives/edgar/data/1672985/000121390017006350/fs42017ex4i_simplygood.htm" TargetMode="External"/><Relationship Id="rId111" Type="http://schemas.openxmlformats.org/officeDocument/2006/relationships/hyperlink" Target="https://www.sec.gov/Archives/edgar/data/1702744/000121390017007546/f8k070717ex10iii_simplygood.htm" TargetMode="External"/><Relationship Id="rId112" Type="http://schemas.openxmlformats.org/officeDocument/2006/relationships/hyperlink" Target="https://www.sec.gov/Archives/edgar/data/1672985/000121390017006350/fs42017ex10iii_simplygood.htm" TargetMode="External"/><Relationship Id="rId113" Type="http://schemas.openxmlformats.org/officeDocument/2006/relationships/hyperlink" Target="https://www.sec.gov/ix?doc=/Archives/edgar/data/1702744/000110465924050021/tm2412311d1_8k.htm" TargetMode="External"/><Relationship Id="rId114" Type="http://schemas.openxmlformats.org/officeDocument/2006/relationships/hyperlink" Target="https://www.sec.gov/Archives/edgar/data/1672985/000121390017006350/fs42017ex10viii_simplygood.htm" TargetMode="External"/><Relationship Id="rId115" Type="http://schemas.openxmlformats.org/officeDocument/2006/relationships/hyperlink" Target="https://www.sec.gov/Archives/edgar/data/1702744/000121390017007546/f8k070717ex10i_simplygood.htm" TargetMode="External"/><Relationship Id="rId116" Type="http://schemas.openxmlformats.org/officeDocument/2006/relationships/hyperlink" Target="https://www.sec.gov/Archives/edgar/data/1702744/000121390018003172/f8k032018_simplygoodfood.htm" TargetMode="External"/><Relationship Id="rId117" Type="http://schemas.openxmlformats.org/officeDocument/2006/relationships/hyperlink" Target="https://www.sec.gov/Archives/edgar/data/1702744/000110465919060856/a19-22146_1ex10d1.htm" TargetMode="External"/><Relationship Id="rId118" Type="http://schemas.openxmlformats.org/officeDocument/2006/relationships/hyperlink" Target="https://www.sec.gov/Archives/edgar/data/1702744/000110465921152628/tm2136016d1_ex10-1.htm" TargetMode="External"/><Relationship Id="rId119" Type="http://schemas.openxmlformats.org/officeDocument/2006/relationships/hyperlink" Target="https://www.sec.gov/Archives/edgar/data/1702744/000110465922007427/tm224221d1_ex10-1.htm" TargetMode="External"/><Relationship Id="rId120" Type="http://schemas.openxmlformats.org/officeDocument/2006/relationships/hyperlink" Target="https://www.sec.gov/ix?doc=/Archives/edgar/data/1702744/000110465923051350/tm2313759d1_8k.htm" TargetMode="External"/><Relationship Id="rId121" Type="http://schemas.openxmlformats.org/officeDocument/2006/relationships/hyperlink" Target="https://www.sec.gov/ix?doc=/Archives/edgar/data/1702744/000110465924072273/tm2417264d1_8k.htm" TargetMode="External"/><Relationship Id="rId122" Type="http://schemas.openxmlformats.org/officeDocument/2006/relationships/hyperlink" Target="https://www.sec.gov/ix?doc=/Archives/edgar/data/1702744/000110465923007982/tm234709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2024-10-29T14:25:45Z</dcterms:created>
  <dcterms:modified xsi:type="dcterms:W3CDTF">2024-10-29T14:25:45Z</dcterms:modified>
</cp:coreProperties>
</file>