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7"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(Mark One)</w:t>
      </w:r>
    </w:p>
    <w:p>
      <w:pPr>
        <w:spacing w:after="0" w:line="95" w:lineRule="exact"/>
        <w:rPr>
          <w:sz w:val="24"/>
          <w:szCs w:val="24"/>
          <w:color w:val="auto"/>
        </w:rPr>
      </w:pPr>
    </w:p>
    <w:p>
      <w:pPr>
        <w:ind w:left="2280" w:right="960" w:hanging="780"/>
        <w:spacing w:after="0" w:line="258" w:lineRule="auto"/>
        <w:tabs>
          <w:tab w:leader="none" w:pos="2280" w:val="left"/>
        </w:tabs>
        <w:numPr>
          <w:ilvl w:val="0"/>
          <w:numId w:val="1"/>
        </w:numPr>
        <w:rPr>
          <w:rFonts w:ascii="MS PGothic" w:cs="MS PGothic" w:eastAsia="MS PGothic" w:hAnsi="MS PGothic"/>
          <w:sz w:val="16"/>
          <w:szCs w:val="16"/>
          <w:color w:val="auto"/>
        </w:rPr>
      </w:pPr>
      <w:r>
        <w:rPr>
          <w:rFonts w:ascii="Arial" w:cs="Arial" w:eastAsia="Arial" w:hAnsi="Arial"/>
          <w:sz w:val="20"/>
          <w:szCs w:val="20"/>
          <w:b w:val="1"/>
          <w:bCs w:val="1"/>
          <w:color w:val="auto"/>
        </w:rPr>
        <w:t>QUARTERLY REPORT PURSUANT TO SECTION 13 OR 15(d) OF THE SECURITIES EXCHANGE ACT OF 1934</w:t>
      </w:r>
    </w:p>
    <w:p>
      <w:pPr>
        <w:jc w:val="center"/>
        <w:ind w:right="-19"/>
        <w:spacing w:after="0"/>
        <w:rPr>
          <w:sz w:val="20"/>
          <w:szCs w:val="20"/>
          <w:color w:val="auto"/>
        </w:rPr>
      </w:pPr>
      <w:r>
        <w:rPr>
          <w:rFonts w:ascii="Arial" w:cs="Arial" w:eastAsia="Arial" w:hAnsi="Arial"/>
          <w:sz w:val="18"/>
          <w:szCs w:val="18"/>
          <w:color w:val="auto"/>
        </w:rPr>
        <w:t>For the quarterly period ended November 30, 2019</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41" w:lineRule="exact"/>
        <w:rPr>
          <w:sz w:val="24"/>
          <w:szCs w:val="24"/>
          <w:color w:val="auto"/>
        </w:rPr>
      </w:pPr>
    </w:p>
    <w:p>
      <w:pPr>
        <w:ind w:left="1640" w:right="20" w:hanging="882"/>
        <w:spacing w:after="0" w:line="267" w:lineRule="auto"/>
        <w:tabs>
          <w:tab w:leader="none" w:pos="1640" w:val="left"/>
        </w:tabs>
        <w:numPr>
          <w:ilvl w:val="0"/>
          <w:numId w:val="2"/>
        </w:numPr>
        <w:rPr>
          <w:rFonts w:ascii="Arial" w:cs="Arial" w:eastAsia="Arial" w:hAnsi="Arial"/>
          <w:sz w:val="16"/>
          <w:szCs w:val="16"/>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001-38115</w:t>
      </w:r>
    </w:p>
    <w:p>
      <w:pPr>
        <w:spacing w:after="0" w:line="26" w:lineRule="exact"/>
        <w:rPr>
          <w:sz w:val="24"/>
          <w:szCs w:val="24"/>
          <w:color w:val="auto"/>
        </w:rPr>
      </w:pPr>
    </w:p>
    <w:p>
      <w:pPr>
        <w:ind w:left="28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Simply Good Foods Company</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83185</wp:posOffset>
            </wp:positionV>
            <wp:extent cx="268414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414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28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ectPr>
          <w:pgSz w:w="11900" w:h="16838" w:orient="portrait"/>
          <w:cols w:equalWidth="0" w:num="1">
            <w:col w:w="11420"/>
          </w:cols>
          <w:pgMar w:left="240" w:top="594" w:right="239" w:bottom="0" w:gutter="0" w:footer="0" w:header="0"/>
        </w:sectPr>
      </w:pPr>
    </w:p>
    <w:p>
      <w:pPr>
        <w:spacing w:after="0" w:line="149" w:lineRule="exact"/>
        <w:rPr>
          <w:sz w:val="24"/>
          <w:szCs w:val="24"/>
          <w:color w:val="auto"/>
        </w:rPr>
      </w:pPr>
    </w:p>
    <w:p>
      <w:pPr>
        <w:ind w:left="18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82-1038121</w:t>
      </w:r>
    </w:p>
    <w:p>
      <w:pPr>
        <w:spacing w:after="0" w:line="95" w:lineRule="exact"/>
        <w:rPr>
          <w:sz w:val="24"/>
          <w:szCs w:val="24"/>
          <w:color w:val="auto"/>
        </w:rPr>
      </w:pPr>
    </w:p>
    <w:p>
      <w:pPr>
        <w:sectPr>
          <w:pgSz w:w="11900" w:h="16838" w:orient="portrait"/>
          <w:cols w:equalWidth="0" w:num="2">
            <w:col w:w="7980" w:space="720"/>
            <w:col w:w="2720"/>
          </w:cols>
          <w:pgMar w:left="240" w:top="594" w:right="239" w:bottom="0" w:gutter="0" w:footer="0" w:header="0"/>
          <w:type w:val="continuous"/>
        </w:sectPr>
      </w:pPr>
    </w:p>
    <w:tbl>
      <w:tblPr>
        <w:tblLayout w:type="fixed"/>
        <w:tblInd w:w="1180" w:type="dxa"/>
        <w:tblCellMar>
          <w:top w:w="0" w:type="dxa"/>
          <w:left w:w="0" w:type="dxa"/>
          <w:bottom w:w="0" w:type="dxa"/>
          <w:right w:w="0" w:type="dxa"/>
        </w:tblCellMar>
      </w:tblPr>
      <w:tr>
        <w:trPr>
          <w:trHeight w:val="203"/>
        </w:trPr>
        <w:tc>
          <w:tcPr>
            <w:tcW w:w="4360" w:type="dxa"/>
            <w:vAlign w:val="bottom"/>
          </w:tcPr>
          <w:p>
            <w:pPr>
              <w:jc w:val="center"/>
              <w:ind w:right="2319"/>
              <w:spacing w:after="0"/>
              <w:rPr>
                <w:sz w:val="20"/>
                <w:szCs w:val="20"/>
                <w:color w:val="auto"/>
              </w:rPr>
            </w:pPr>
            <w:r>
              <w:rPr>
                <w:rFonts w:ascii="Arial" w:cs="Arial" w:eastAsia="Arial" w:hAnsi="Arial"/>
                <w:sz w:val="16"/>
                <w:szCs w:val="16"/>
                <w:color w:val="auto"/>
                <w:w w:val="93"/>
              </w:rPr>
              <w:t>(State or other jurisdiction of</w:t>
            </w:r>
          </w:p>
        </w:tc>
        <w:tc>
          <w:tcPr>
            <w:tcW w:w="4760" w:type="dxa"/>
            <w:vAlign w:val="bottom"/>
            <w:vMerge w:val="restart"/>
          </w:tcPr>
          <w:p>
            <w:pPr>
              <w:ind w:left="2420"/>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98"/>
        </w:trPr>
        <w:tc>
          <w:tcPr>
            <w:tcW w:w="4360" w:type="dxa"/>
            <w:vAlign w:val="bottom"/>
            <w:vMerge w:val="restart"/>
          </w:tcPr>
          <w:p>
            <w:pPr>
              <w:jc w:val="center"/>
              <w:ind w:right="2319"/>
              <w:spacing w:after="0"/>
              <w:rPr>
                <w:sz w:val="20"/>
                <w:szCs w:val="20"/>
                <w:color w:val="auto"/>
              </w:rPr>
            </w:pPr>
            <w:r>
              <w:rPr>
                <w:rFonts w:ascii="Arial" w:cs="Arial" w:eastAsia="Arial" w:hAnsi="Arial"/>
                <w:sz w:val="16"/>
                <w:szCs w:val="16"/>
                <w:color w:val="auto"/>
                <w:w w:val="94"/>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6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1225 17th Street, Suite 1000</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3" w:lineRule="exact"/>
        <w:rPr>
          <w:sz w:val="24"/>
          <w:szCs w:val="24"/>
          <w:color w:val="auto"/>
        </w:rPr>
      </w:pPr>
    </w:p>
    <w:p>
      <w:pPr>
        <w:ind w:left="28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6" w:lineRule="exact"/>
        <w:rPr>
          <w:sz w:val="24"/>
          <w:szCs w:val="24"/>
          <w:color w:val="auto"/>
        </w:rPr>
      </w:pPr>
    </w:p>
    <w:tbl>
      <w:tblPr>
        <w:tblLayout w:type="fixed"/>
        <w:tblInd w:w="1100" w:type="dxa"/>
        <w:tblCellMar>
          <w:top w:w="0" w:type="dxa"/>
          <w:left w:w="0" w:type="dxa"/>
          <w:bottom w:w="0" w:type="dxa"/>
          <w:right w:w="0" w:type="dxa"/>
        </w:tblCellMar>
      </w:tblPr>
      <w:tr>
        <w:trPr>
          <w:trHeight w:val="206"/>
        </w:trPr>
        <w:tc>
          <w:tcPr>
            <w:tcW w:w="32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Title of each class</w:t>
            </w:r>
          </w:p>
        </w:tc>
        <w:tc>
          <w:tcPr>
            <w:tcW w:w="27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Trading symbol</w:t>
            </w:r>
          </w:p>
        </w:tc>
        <w:tc>
          <w:tcPr>
            <w:tcW w:w="330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47"/>
        </w:trPr>
        <w:tc>
          <w:tcPr>
            <w:tcW w:w="3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17"/>
        </w:trPr>
        <w:tc>
          <w:tcPr>
            <w:tcW w:w="32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Common Stock, par value $0.01 per share</w:t>
            </w:r>
          </w:p>
        </w:tc>
        <w:tc>
          <w:tcPr>
            <w:tcW w:w="27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SMPL</w:t>
            </w:r>
          </w:p>
        </w:tc>
        <w:tc>
          <w:tcPr>
            <w:tcW w:w="3300" w:type="dxa"/>
            <w:vAlign w:val="bottom"/>
          </w:tcPr>
          <w:p>
            <w:pPr>
              <w:jc w:val="center"/>
              <w:spacing w:after="0"/>
              <w:rPr>
                <w:sz w:val="20"/>
                <w:szCs w:val="20"/>
                <w:color w:val="auto"/>
              </w:rPr>
            </w:pPr>
            <w:r>
              <w:rPr>
                <w:rFonts w:ascii="Arial" w:cs="Arial" w:eastAsia="Arial" w:hAnsi="Arial"/>
                <w:sz w:val="16"/>
                <w:szCs w:val="16"/>
                <w:color w:val="auto"/>
                <w:w w:val="97"/>
              </w:rPr>
              <w:t>NASDAQ</w:t>
            </w:r>
          </w:p>
        </w:tc>
      </w:tr>
    </w:tbl>
    <w:p>
      <w:pPr>
        <w:spacing w:after="0" w:line="200" w:lineRule="exact"/>
        <w:rPr>
          <w:sz w:val="24"/>
          <w:szCs w:val="24"/>
          <w:color w:val="auto"/>
        </w:rPr>
      </w:pPr>
    </w:p>
    <w:p>
      <w:pPr>
        <w:spacing w:after="0" w:line="25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94" w:right="239" w:bottom="0" w:gutter="0" w:footer="0" w:header="0"/>
          <w:type w:val="continuous"/>
        </w:sectPr>
      </w:pPr>
    </w:p>
    <w:p>
      <w:pPr>
        <w:spacing w:after="0" w:line="132" w:lineRule="exact"/>
        <w:rPr>
          <w:sz w:val="24"/>
          <w:szCs w:val="24"/>
          <w:color w:val="auto"/>
        </w:rPr>
      </w:pPr>
    </w:p>
    <w:p>
      <w:pPr>
        <w:ind w:left="27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4180" w:space="620"/>
            <w:col w:w="1700" w:space="720"/>
            <w:col w:w="1080" w:space="60"/>
            <w:col w:w="3060"/>
          </w:cols>
          <w:pgMar w:left="240" w:top="594" w:right="239" w:bottom="0" w:gutter="0" w:footer="0" w:header="0"/>
          <w:type w:val="continuous"/>
        </w:sectPr>
      </w:pPr>
    </w:p>
    <w:p>
      <w:pPr>
        <w:spacing w:after="0" w:line="30" w:lineRule="exact"/>
        <w:rPr>
          <w:sz w:val="24"/>
          <w:szCs w:val="24"/>
          <w:color w:val="auto"/>
        </w:rPr>
      </w:pPr>
    </w:p>
    <w:p>
      <w:pPr>
        <w:ind w:left="27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4">
            <w:col w:w="4100" w:space="700"/>
            <w:col w:w="1020" w:space="720"/>
            <w:col w:w="1760" w:space="60"/>
            <w:col w:w="3060"/>
          </w:cols>
          <w:pgMar w:left="240" w:top="594" w:right="239" w:bottom="0" w:gutter="0" w:footer="0" w:header="0"/>
          <w:type w:val="continuous"/>
        </w:sectPr>
      </w:pPr>
    </w:p>
    <w:p>
      <w:pPr>
        <w:spacing w:after="0" w:line="30" w:lineRule="exact"/>
        <w:rPr>
          <w:sz w:val="24"/>
          <w:szCs w:val="24"/>
          <w:color w:val="auto"/>
        </w:rPr>
      </w:pPr>
    </w:p>
    <w:p>
      <w:pPr>
        <w:ind w:left="654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2">
            <w:col w:w="8300" w:space="60"/>
            <w:col w:w="3060"/>
          </w:cols>
          <w:pgMar w:left="240" w:top="594" w:right="2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January 3, 2020, there were 95,333,804 shares of common stock, par value $0.01 per share, issued and outstanding.</w:t>
      </w:r>
    </w:p>
    <w:p>
      <w:pPr>
        <w:sectPr>
          <w:pgSz w:w="11900" w:h="16838" w:orient="portrait"/>
          <w:cols w:equalWidth="0" w:num="1">
            <w:col w:w="11420"/>
          </w:cols>
          <w:pgMar w:left="240" w:top="594" w:right="239" w:bottom="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QUARTER ENDED NOVEMBER 30, 2019</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gridSpan w:val="4"/>
          </w:tcPr>
          <w:p>
            <w:pPr>
              <w:ind w:left="500"/>
              <w:spacing w:after="0"/>
              <w:rPr>
                <w:sz w:val="20"/>
                <w:szCs w:val="20"/>
                <w:color w:val="auto"/>
              </w:rPr>
            </w:pPr>
            <w:r>
              <w:rPr>
                <w:rFonts w:ascii="Arial" w:cs="Arial" w:eastAsia="Arial" w:hAnsi="Arial"/>
                <w:sz w:val="16"/>
                <w:szCs w:val="16"/>
                <w:b w:val="1"/>
                <w:bCs w:val="1"/>
                <w:color w:val="auto"/>
                <w:w w:val="83"/>
              </w:rPr>
              <w:t>Page</w:t>
            </w: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80" w:type="dxa"/>
            <w:vAlign w:val="bottom"/>
            <w:gridSpan w:val="13"/>
          </w:tcPr>
          <w:p>
            <w:pPr>
              <w:jc w:val="center"/>
              <w:ind w:right="2540"/>
              <w:spacing w:after="0"/>
              <w:rPr>
                <w:rFonts w:ascii="Arial" w:cs="Arial" w:eastAsia="Arial" w:hAnsi="Arial"/>
                <w:sz w:val="16"/>
                <w:szCs w:val="16"/>
                <w:b w:val="1"/>
                <w:bCs w:val="1"/>
                <w:color w:val="0000EE"/>
                <w:w w:val="95"/>
              </w:rPr>
            </w:pPr>
            <w:hyperlink w:anchor="page4">
              <w:r>
                <w:rPr>
                  <w:rFonts w:ascii="Arial" w:cs="Arial" w:eastAsia="Arial" w:hAnsi="Arial"/>
                  <w:sz w:val="16"/>
                  <w:szCs w:val="16"/>
                  <w:b w:val="1"/>
                  <w:bCs w:val="1"/>
                  <w:color w:val="0000EE"/>
                  <w:w w:val="95"/>
                </w:rPr>
                <w:t>PART I. Financial Information</w:t>
              </w:r>
            </w:hyperlink>
          </w:p>
        </w:tc>
        <w:tc>
          <w:tcPr>
            <w:tcW w:w="5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86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1</w:t>
              </w:r>
            </w:hyperlink>
            <w:r>
              <w:rPr>
                <w:rFonts w:ascii="Arial" w:cs="Arial" w:eastAsia="Arial" w:hAnsi="Arial"/>
                <w:sz w:val="16"/>
                <w:szCs w:val="16"/>
                <w:color w:val="000000"/>
              </w:rPr>
              <w:t>.</w:t>
            </w:r>
          </w:p>
        </w:tc>
        <w:tc>
          <w:tcPr>
            <w:tcW w:w="6340" w:type="dxa"/>
            <w:vAlign w:val="bottom"/>
            <w:gridSpan w:val="1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Financial Statements (Unaudited):</w:t>
              </w:r>
            </w:hyperlink>
          </w:p>
        </w:tc>
        <w:tc>
          <w:tcPr>
            <w:tcW w:w="720" w:type="dxa"/>
            <w:vAlign w:val="bottom"/>
            <w:gridSpan w:val="3"/>
          </w:tcPr>
          <w:p>
            <w:pPr>
              <w:jc w:val="center"/>
              <w:ind w:left="559"/>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3</w:t>
              </w:r>
            </w:hyperlink>
          </w:p>
        </w:tc>
        <w:tc>
          <w:tcPr>
            <w:tcW w:w="120" w:type="dxa"/>
            <w:vAlign w:val="bottom"/>
          </w:tcPr>
          <w:p>
            <w:pPr>
              <w:spacing w:after="0"/>
              <w:rPr>
                <w:sz w:val="20"/>
                <w:szCs w:val="20"/>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360" w:type="dxa"/>
            <w:vAlign w:val="bottom"/>
            <w:gridSpan w:val="11"/>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Balance Sheets</w:t>
              </w:r>
            </w:hyperlink>
          </w:p>
        </w:tc>
        <w:tc>
          <w:tcPr>
            <w:tcW w:w="2980" w:type="dxa"/>
            <w:vAlign w:val="bottom"/>
            <w:gridSpan w:val="8"/>
          </w:tcPr>
          <w:p>
            <w:pPr>
              <w:spacing w:after="0"/>
              <w:rPr>
                <w:sz w:val="20"/>
                <w:szCs w:val="20"/>
                <w:color w:val="auto"/>
              </w:rPr>
            </w:pPr>
          </w:p>
        </w:tc>
        <w:tc>
          <w:tcPr>
            <w:tcW w:w="720" w:type="dxa"/>
            <w:vAlign w:val="bottom"/>
            <w:gridSpan w:val="3"/>
          </w:tcPr>
          <w:p>
            <w:pPr>
              <w:jc w:val="center"/>
              <w:ind w:left="559"/>
              <w:spacing w:after="0"/>
              <w:rPr>
                <w:sz w:val="20"/>
                <w:szCs w:val="20"/>
                <w:color w:val="auto"/>
              </w:rPr>
            </w:pPr>
            <w:r>
              <w:rPr>
                <w:rFonts w:ascii="Arial" w:cs="Arial" w:eastAsia="Arial" w:hAnsi="Arial"/>
                <w:sz w:val="16"/>
                <w:szCs w:val="16"/>
                <w:color w:val="0000EE"/>
                <w:w w:val="89"/>
              </w:rPr>
              <w:t>3</w:t>
            </w:r>
          </w:p>
        </w:tc>
        <w:tc>
          <w:tcPr>
            <w:tcW w:w="12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20" w:type="dxa"/>
            <w:vAlign w:val="bottom"/>
            <w:tcBorders>
              <w:left w:val="single" w:sz="8" w:color="0000EE"/>
            </w:tcBorders>
            <w:shd w:val="clear" w:color="auto" w:fill="0000EE"/>
          </w:tcPr>
          <w:p>
            <w:pPr>
              <w:spacing w:after="0"/>
              <w:rPr>
                <w:sz w:val="2"/>
                <w:szCs w:val="2"/>
                <w:color w:val="auto"/>
              </w:rPr>
            </w:pPr>
          </w:p>
        </w:tc>
        <w:tc>
          <w:tcPr>
            <w:tcW w:w="140" w:type="dxa"/>
            <w:vAlign w:val="bottom"/>
            <w:gridSpan w:val="2"/>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260" w:type="dxa"/>
            <w:vAlign w:val="bottom"/>
            <w:gridSpan w:val="3"/>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20" w:type="dxa"/>
            <w:vAlign w:val="bottom"/>
            <w:gridSpan w:val="17"/>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Condensed Consolidated Statements of Operations and Comprehensive (Loss) Income</w:t>
              </w:r>
            </w:hyperlink>
          </w:p>
        </w:tc>
        <w:tc>
          <w:tcPr>
            <w:tcW w:w="720" w:type="dxa"/>
            <w:vAlign w:val="bottom"/>
            <w:gridSpan w:val="2"/>
          </w:tcPr>
          <w:p>
            <w:pPr>
              <w:spacing w:after="0"/>
              <w:rPr>
                <w:sz w:val="21"/>
                <w:szCs w:val="21"/>
                <w:color w:val="auto"/>
              </w:rPr>
            </w:pPr>
          </w:p>
        </w:tc>
        <w:tc>
          <w:tcPr>
            <w:tcW w:w="720" w:type="dxa"/>
            <w:vAlign w:val="bottom"/>
            <w:gridSpan w:val="3"/>
          </w:tcPr>
          <w:p>
            <w:pPr>
              <w:jc w:val="center"/>
              <w:ind w:left="559"/>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4</w:t>
              </w:r>
            </w:hyperlink>
          </w:p>
        </w:tc>
        <w:tc>
          <w:tcPr>
            <w:tcW w:w="120" w:type="dxa"/>
            <w:vAlign w:val="bottom"/>
          </w:tcPr>
          <w:p>
            <w:pPr>
              <w:spacing w:after="0"/>
              <w:rPr>
                <w:sz w:val="21"/>
                <w:szCs w:val="21"/>
                <w:color w:val="auto"/>
              </w:rPr>
            </w:pP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360" w:type="dxa"/>
            <w:vAlign w:val="bottom"/>
            <w:gridSpan w:val="11"/>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Condensed Consolidated Statements of Cash Flows</w:t>
              </w:r>
            </w:hyperlink>
          </w:p>
        </w:tc>
        <w:tc>
          <w:tcPr>
            <w:tcW w:w="2260" w:type="dxa"/>
            <w:vAlign w:val="bottom"/>
            <w:gridSpan w:val="6"/>
          </w:tcPr>
          <w:p>
            <w:pPr>
              <w:spacing w:after="0"/>
              <w:rPr>
                <w:sz w:val="21"/>
                <w:szCs w:val="21"/>
                <w:color w:val="auto"/>
              </w:rPr>
            </w:pPr>
          </w:p>
        </w:tc>
        <w:tc>
          <w:tcPr>
            <w:tcW w:w="720" w:type="dxa"/>
            <w:vAlign w:val="bottom"/>
            <w:gridSpan w:val="2"/>
          </w:tcPr>
          <w:p>
            <w:pPr>
              <w:spacing w:after="0"/>
              <w:rPr>
                <w:sz w:val="21"/>
                <w:szCs w:val="21"/>
                <w:color w:val="auto"/>
              </w:rPr>
            </w:pPr>
          </w:p>
        </w:tc>
        <w:tc>
          <w:tcPr>
            <w:tcW w:w="720" w:type="dxa"/>
            <w:vAlign w:val="bottom"/>
            <w:gridSpan w:val="3"/>
          </w:tcPr>
          <w:p>
            <w:pPr>
              <w:jc w:val="center"/>
              <w:ind w:left="559"/>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5</w:t>
              </w:r>
            </w:hyperlink>
          </w:p>
        </w:tc>
        <w:tc>
          <w:tcPr>
            <w:tcW w:w="120" w:type="dxa"/>
            <w:vAlign w:val="bottom"/>
          </w:tcPr>
          <w:p>
            <w:pPr>
              <w:spacing w:after="0"/>
              <w:rPr>
                <w:sz w:val="21"/>
                <w:szCs w:val="21"/>
                <w:color w:val="auto"/>
              </w:rPr>
            </w:pP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340" w:type="dxa"/>
            <w:vAlign w:val="bottom"/>
            <w:gridSpan w:val="19"/>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Condensed Consolidated Statements of Stockholders’ Equity</w:t>
              </w:r>
            </w:hyperlink>
          </w:p>
        </w:tc>
        <w:tc>
          <w:tcPr>
            <w:tcW w:w="720" w:type="dxa"/>
            <w:vAlign w:val="bottom"/>
            <w:gridSpan w:val="3"/>
          </w:tcPr>
          <w:p>
            <w:pPr>
              <w:jc w:val="center"/>
              <w:ind w:left="559"/>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7</w:t>
              </w:r>
            </w:hyperlink>
          </w:p>
        </w:tc>
        <w:tc>
          <w:tcPr>
            <w:tcW w:w="120" w:type="dxa"/>
            <w:vAlign w:val="bottom"/>
          </w:tcPr>
          <w:p>
            <w:pPr>
              <w:spacing w:after="0"/>
              <w:rPr>
                <w:sz w:val="21"/>
                <w:szCs w:val="21"/>
                <w:color w:val="auto"/>
              </w:rPr>
            </w:pP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320" w:type="dxa"/>
            <w:vAlign w:val="bottom"/>
            <w:gridSpan w:val="16"/>
          </w:tcPr>
          <w:p>
            <w:pPr>
              <w:spacing w:after="0"/>
              <w:rPr>
                <w:rFonts w:ascii="Arial" w:cs="Arial" w:eastAsia="Arial" w:hAnsi="Arial"/>
                <w:sz w:val="16"/>
                <w:szCs w:val="16"/>
                <w:color w:val="0000EE"/>
                <w:w w:val="90"/>
              </w:rPr>
            </w:pPr>
            <w:hyperlink w:anchor="page9">
              <w:r>
                <w:rPr>
                  <w:rFonts w:ascii="Arial" w:cs="Arial" w:eastAsia="Arial" w:hAnsi="Arial"/>
                  <w:sz w:val="16"/>
                  <w:szCs w:val="16"/>
                  <w:color w:val="0000EE"/>
                  <w:w w:val="90"/>
                </w:rPr>
                <w:t>Notes to Unaudited Condensed Consolidated Financial Statements</w:t>
              </w:r>
            </w:hyperlink>
          </w:p>
        </w:tc>
        <w:tc>
          <w:tcPr>
            <w:tcW w:w="2020" w:type="dxa"/>
            <w:vAlign w:val="bottom"/>
            <w:gridSpan w:val="3"/>
          </w:tcPr>
          <w:p>
            <w:pPr>
              <w:spacing w:after="0"/>
              <w:rPr>
                <w:sz w:val="21"/>
                <w:szCs w:val="21"/>
                <w:color w:val="auto"/>
              </w:rPr>
            </w:pPr>
          </w:p>
        </w:tc>
        <w:tc>
          <w:tcPr>
            <w:tcW w:w="720" w:type="dxa"/>
            <w:vAlign w:val="bottom"/>
            <w:gridSpan w:val="3"/>
          </w:tcPr>
          <w:p>
            <w:pPr>
              <w:jc w:val="center"/>
              <w:ind w:left="559"/>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8</w:t>
              </w:r>
            </w:hyperlink>
          </w:p>
        </w:tc>
        <w:tc>
          <w:tcPr>
            <w:tcW w:w="120" w:type="dxa"/>
            <w:vAlign w:val="bottom"/>
          </w:tcPr>
          <w:p>
            <w:pPr>
              <w:spacing w:after="0"/>
              <w:rPr>
                <w:sz w:val="21"/>
                <w:szCs w:val="21"/>
                <w:color w:val="auto"/>
              </w:rPr>
            </w:pP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860" w:type="dxa"/>
            <w:vAlign w:val="bottom"/>
            <w:gridSpan w:val="3"/>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Item 2</w:t>
              </w:r>
            </w:hyperlink>
            <w:r>
              <w:rPr>
                <w:rFonts w:ascii="Arial" w:cs="Arial" w:eastAsia="Arial" w:hAnsi="Arial"/>
                <w:sz w:val="16"/>
                <w:szCs w:val="16"/>
                <w:color w:val="000000"/>
              </w:rPr>
              <w:t>.</w:t>
            </w:r>
          </w:p>
        </w:tc>
        <w:tc>
          <w:tcPr>
            <w:tcW w:w="6340" w:type="dxa"/>
            <w:vAlign w:val="bottom"/>
            <w:gridSpan w:val="19"/>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Management’s Discussion and Analysis of Financial Condition and Results of Operations</w:t>
              </w:r>
            </w:hyperlink>
          </w:p>
        </w:tc>
        <w:tc>
          <w:tcPr>
            <w:tcW w:w="840" w:type="dxa"/>
            <w:vAlign w:val="bottom"/>
            <w:gridSpan w:val="4"/>
          </w:tcPr>
          <w:p>
            <w:pPr>
              <w:jc w:val="center"/>
              <w:ind w:left="43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23</w:t>
              </w:r>
            </w:hyperlink>
          </w:p>
        </w:tc>
      </w:tr>
      <w:tr>
        <w:trPr>
          <w:trHeight w:val="20"/>
        </w:trPr>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37"/>
        </w:trPr>
        <w:tc>
          <w:tcPr>
            <w:tcW w:w="1860" w:type="dxa"/>
            <w:vAlign w:val="bottom"/>
            <w:gridSpan w:val="3"/>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Item 3</w:t>
              </w:r>
            </w:hyperlink>
            <w:r>
              <w:rPr>
                <w:rFonts w:ascii="Arial" w:cs="Arial" w:eastAsia="Arial" w:hAnsi="Arial"/>
                <w:sz w:val="16"/>
                <w:szCs w:val="16"/>
                <w:color w:val="000000"/>
              </w:rPr>
              <w:t>.</w:t>
            </w:r>
          </w:p>
        </w:tc>
        <w:tc>
          <w:tcPr>
            <w:tcW w:w="6340" w:type="dxa"/>
            <w:vAlign w:val="bottom"/>
            <w:gridSpan w:val="19"/>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Quantitative and Qualitative Disclosures about Market Risk</w:t>
              </w:r>
            </w:hyperlink>
          </w:p>
        </w:tc>
        <w:tc>
          <w:tcPr>
            <w:tcW w:w="840" w:type="dxa"/>
            <w:vAlign w:val="bottom"/>
            <w:gridSpan w:val="4"/>
          </w:tcPr>
          <w:p>
            <w:pPr>
              <w:jc w:val="center"/>
              <w:ind w:left="439"/>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30</w:t>
              </w:r>
            </w:hyperlink>
          </w:p>
        </w:tc>
      </w:tr>
      <w:tr>
        <w:trPr>
          <w:trHeight w:val="20"/>
        </w:trPr>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37"/>
        </w:trPr>
        <w:tc>
          <w:tcPr>
            <w:tcW w:w="1860" w:type="dxa"/>
            <w:vAlign w:val="bottom"/>
            <w:gridSpan w:val="3"/>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Item 4</w:t>
              </w:r>
            </w:hyperlink>
            <w:r>
              <w:rPr>
                <w:rFonts w:ascii="Arial" w:cs="Arial" w:eastAsia="Arial" w:hAnsi="Arial"/>
                <w:sz w:val="16"/>
                <w:szCs w:val="16"/>
                <w:color w:val="000000"/>
              </w:rPr>
              <w:t>.</w:t>
            </w:r>
          </w:p>
        </w:tc>
        <w:tc>
          <w:tcPr>
            <w:tcW w:w="6340" w:type="dxa"/>
            <w:vAlign w:val="bottom"/>
            <w:gridSpan w:val="19"/>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Controls and Procedures</w:t>
              </w:r>
            </w:hyperlink>
          </w:p>
        </w:tc>
        <w:tc>
          <w:tcPr>
            <w:tcW w:w="840" w:type="dxa"/>
            <w:vAlign w:val="bottom"/>
            <w:gridSpan w:val="4"/>
          </w:tcPr>
          <w:p>
            <w:pPr>
              <w:jc w:val="center"/>
              <w:ind w:left="439"/>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30</w:t>
              </w:r>
            </w:hyperlink>
          </w:p>
        </w:tc>
      </w:tr>
      <w:tr>
        <w:trPr>
          <w:trHeight w:val="237"/>
        </w:trPr>
        <w:tc>
          <w:tcPr>
            <w:tcW w:w="42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Borders>
              <w:bottom w:val="single" w:sz="8" w:color="0000EE"/>
            </w:tcBorders>
            <w:gridSpan w:val="5"/>
          </w:tcPr>
          <w:p>
            <w:pPr>
              <w:jc w:val="center"/>
              <w:spacing w:after="0"/>
              <w:rPr>
                <w:rFonts w:ascii="Arial" w:cs="Arial" w:eastAsia="Arial" w:hAnsi="Arial"/>
                <w:sz w:val="16"/>
                <w:szCs w:val="16"/>
                <w:b w:val="1"/>
                <w:bCs w:val="1"/>
                <w:color w:val="0000EE"/>
                <w:w w:val="98"/>
              </w:rPr>
            </w:pPr>
            <w:hyperlink w:anchor="page34">
              <w:r>
                <w:rPr>
                  <w:rFonts w:ascii="Arial" w:cs="Arial" w:eastAsia="Arial" w:hAnsi="Arial"/>
                  <w:sz w:val="16"/>
                  <w:szCs w:val="16"/>
                  <w:b w:val="1"/>
                  <w:bCs w:val="1"/>
                  <w:color w:val="0000EE"/>
                  <w:w w:val="98"/>
                </w:rPr>
                <w:t>PART II. Other Information</w:t>
              </w:r>
            </w:hyperlink>
          </w:p>
        </w:tc>
        <w:tc>
          <w:tcPr>
            <w:tcW w:w="2620" w:type="dxa"/>
            <w:vAlign w:val="bottom"/>
            <w:gridSpan w:val="7"/>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1860" w:type="dxa"/>
            <w:vAlign w:val="bottom"/>
            <w:gridSpan w:val="3"/>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Item 1</w:t>
              </w:r>
            </w:hyperlink>
            <w:r>
              <w:rPr>
                <w:rFonts w:ascii="Arial" w:cs="Arial" w:eastAsia="Arial" w:hAnsi="Arial"/>
                <w:sz w:val="16"/>
                <w:szCs w:val="16"/>
                <w:color w:val="000000"/>
              </w:rPr>
              <w:t>.</w:t>
            </w:r>
          </w:p>
        </w:tc>
        <w:tc>
          <w:tcPr>
            <w:tcW w:w="6340" w:type="dxa"/>
            <w:vAlign w:val="bottom"/>
            <w:gridSpan w:val="19"/>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Legal Proceedings</w:t>
              </w:r>
            </w:hyperlink>
          </w:p>
        </w:tc>
        <w:tc>
          <w:tcPr>
            <w:tcW w:w="840" w:type="dxa"/>
            <w:vAlign w:val="bottom"/>
            <w:gridSpan w:val="4"/>
          </w:tcPr>
          <w:p>
            <w:pPr>
              <w:jc w:val="center"/>
              <w:ind w:left="439"/>
              <w:spacing w:after="0"/>
              <w:rPr>
                <w:rFonts w:ascii="Arial" w:cs="Arial" w:eastAsia="Arial" w:hAnsi="Arial"/>
                <w:sz w:val="16"/>
                <w:szCs w:val="16"/>
                <w:color w:val="0000EE"/>
                <w:w w:val="89"/>
              </w:rPr>
            </w:pPr>
            <w:hyperlink w:anchor="page34">
              <w:r>
                <w:rPr>
                  <w:rFonts w:ascii="Arial" w:cs="Arial" w:eastAsia="Arial" w:hAnsi="Arial"/>
                  <w:sz w:val="16"/>
                  <w:szCs w:val="16"/>
                  <w:color w:val="0000EE"/>
                  <w:w w:val="89"/>
                </w:rPr>
                <w:t>32</w:t>
              </w:r>
            </w:hyperlink>
          </w:p>
        </w:tc>
      </w:tr>
      <w:tr>
        <w:trPr>
          <w:trHeight w:val="20"/>
        </w:trPr>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gridSpan w:val="4"/>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37"/>
        </w:trPr>
        <w:tc>
          <w:tcPr>
            <w:tcW w:w="1860" w:type="dxa"/>
            <w:vAlign w:val="bottom"/>
            <w:gridSpan w:val="3"/>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Item 1A</w:t>
              </w:r>
            </w:hyperlink>
            <w:r>
              <w:rPr>
                <w:rFonts w:ascii="Arial" w:cs="Arial" w:eastAsia="Arial" w:hAnsi="Arial"/>
                <w:sz w:val="16"/>
                <w:szCs w:val="16"/>
                <w:color w:val="000000"/>
              </w:rPr>
              <w:t>.</w:t>
            </w:r>
          </w:p>
        </w:tc>
        <w:tc>
          <w:tcPr>
            <w:tcW w:w="6340" w:type="dxa"/>
            <w:vAlign w:val="bottom"/>
            <w:gridSpan w:val="19"/>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Risk Factors</w:t>
              </w:r>
            </w:hyperlink>
          </w:p>
        </w:tc>
        <w:tc>
          <w:tcPr>
            <w:tcW w:w="840" w:type="dxa"/>
            <w:vAlign w:val="bottom"/>
            <w:gridSpan w:val="4"/>
          </w:tcPr>
          <w:p>
            <w:pPr>
              <w:jc w:val="center"/>
              <w:ind w:left="439"/>
              <w:spacing w:after="0"/>
              <w:rPr>
                <w:rFonts w:ascii="Arial" w:cs="Arial" w:eastAsia="Arial" w:hAnsi="Arial"/>
                <w:sz w:val="16"/>
                <w:szCs w:val="16"/>
                <w:color w:val="0000EE"/>
                <w:w w:val="89"/>
              </w:rPr>
            </w:pPr>
            <w:hyperlink w:anchor="page34">
              <w:r>
                <w:rPr>
                  <w:rFonts w:ascii="Arial" w:cs="Arial" w:eastAsia="Arial" w:hAnsi="Arial"/>
                  <w:sz w:val="16"/>
                  <w:szCs w:val="16"/>
                  <w:color w:val="0000EE"/>
                  <w:w w:val="89"/>
                </w:rPr>
                <w:t>32</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37"/>
        </w:trPr>
        <w:tc>
          <w:tcPr>
            <w:tcW w:w="540" w:type="dxa"/>
            <w:vAlign w:val="bottom"/>
            <w:gridSpan w:val="2"/>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Item 2</w:t>
              </w:r>
            </w:hyperlink>
            <w:r>
              <w:rPr>
                <w:rFonts w:ascii="Arial" w:cs="Arial" w:eastAsia="Arial" w:hAnsi="Arial"/>
                <w:sz w:val="16"/>
                <w:szCs w:val="16"/>
                <w:color w:val="000000"/>
              </w:rPr>
              <w:t>.</w:t>
            </w:r>
          </w:p>
        </w:tc>
        <w:tc>
          <w:tcPr>
            <w:tcW w:w="1320" w:type="dxa"/>
            <w:vAlign w:val="bottom"/>
          </w:tcPr>
          <w:p>
            <w:pPr>
              <w:spacing w:after="0"/>
              <w:rPr>
                <w:sz w:val="20"/>
                <w:szCs w:val="20"/>
                <w:color w:val="auto"/>
              </w:rPr>
            </w:pPr>
          </w:p>
        </w:tc>
        <w:tc>
          <w:tcPr>
            <w:tcW w:w="6340" w:type="dxa"/>
            <w:vAlign w:val="bottom"/>
            <w:gridSpan w:val="19"/>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Unregistered Sales of Equity Securities and Use of Proceeds</w:t>
              </w:r>
            </w:hyperlink>
          </w:p>
        </w:tc>
        <w:tc>
          <w:tcPr>
            <w:tcW w:w="840" w:type="dxa"/>
            <w:vAlign w:val="bottom"/>
            <w:gridSpan w:val="4"/>
          </w:tcPr>
          <w:p>
            <w:pPr>
              <w:jc w:val="center"/>
              <w:ind w:left="439"/>
              <w:spacing w:after="0"/>
              <w:rPr>
                <w:rFonts w:ascii="Arial" w:cs="Arial" w:eastAsia="Arial" w:hAnsi="Arial"/>
                <w:sz w:val="16"/>
                <w:szCs w:val="16"/>
                <w:color w:val="0000EE"/>
                <w:w w:val="89"/>
              </w:rPr>
            </w:pPr>
            <w:hyperlink w:anchor="page34">
              <w:r>
                <w:rPr>
                  <w:rFonts w:ascii="Arial" w:cs="Arial" w:eastAsia="Arial" w:hAnsi="Arial"/>
                  <w:sz w:val="16"/>
                  <w:szCs w:val="16"/>
                  <w:color w:val="0000EE"/>
                  <w:w w:val="89"/>
                </w:rPr>
                <w:t>32</w:t>
              </w:r>
            </w:hyperlink>
          </w:p>
        </w:tc>
      </w:tr>
      <w:tr>
        <w:trPr>
          <w:trHeight w:val="20"/>
        </w:trPr>
        <w:tc>
          <w:tcPr>
            <w:tcW w:w="42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37"/>
        </w:trPr>
        <w:tc>
          <w:tcPr>
            <w:tcW w:w="1860" w:type="dxa"/>
            <w:vAlign w:val="bottom"/>
            <w:gridSpan w:val="3"/>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Item 3</w:t>
              </w:r>
            </w:hyperlink>
            <w:r>
              <w:rPr>
                <w:rFonts w:ascii="Arial" w:cs="Arial" w:eastAsia="Arial" w:hAnsi="Arial"/>
                <w:sz w:val="16"/>
                <w:szCs w:val="16"/>
                <w:color w:val="000000"/>
              </w:rPr>
              <w:t>.</w:t>
            </w:r>
          </w:p>
        </w:tc>
        <w:tc>
          <w:tcPr>
            <w:tcW w:w="6340" w:type="dxa"/>
            <w:vAlign w:val="bottom"/>
            <w:gridSpan w:val="19"/>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Defaults Upon Senior Securities</w:t>
              </w:r>
            </w:hyperlink>
          </w:p>
        </w:tc>
        <w:tc>
          <w:tcPr>
            <w:tcW w:w="840" w:type="dxa"/>
            <w:vAlign w:val="bottom"/>
            <w:gridSpan w:val="4"/>
          </w:tcPr>
          <w:p>
            <w:pPr>
              <w:jc w:val="center"/>
              <w:ind w:left="439"/>
              <w:spacing w:after="0"/>
              <w:rPr>
                <w:rFonts w:ascii="Arial" w:cs="Arial" w:eastAsia="Arial" w:hAnsi="Arial"/>
                <w:sz w:val="16"/>
                <w:szCs w:val="16"/>
                <w:color w:val="0000EE"/>
                <w:w w:val="89"/>
              </w:rPr>
            </w:pPr>
            <w:hyperlink w:anchor="page34">
              <w:r>
                <w:rPr>
                  <w:rFonts w:ascii="Arial" w:cs="Arial" w:eastAsia="Arial" w:hAnsi="Arial"/>
                  <w:sz w:val="16"/>
                  <w:szCs w:val="16"/>
                  <w:color w:val="0000EE"/>
                  <w:w w:val="89"/>
                </w:rPr>
                <w:t>32</w:t>
              </w:r>
            </w:hyperlink>
          </w:p>
        </w:tc>
      </w:tr>
      <w:tr>
        <w:trPr>
          <w:trHeight w:val="20"/>
        </w:trPr>
        <w:tc>
          <w:tcPr>
            <w:tcW w:w="42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4240" w:type="dxa"/>
            <w:vAlign w:val="bottom"/>
            <w:gridSpan w:val="11"/>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37"/>
        </w:trPr>
        <w:tc>
          <w:tcPr>
            <w:tcW w:w="1860" w:type="dxa"/>
            <w:vAlign w:val="bottom"/>
            <w:gridSpan w:val="3"/>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Item 4</w:t>
              </w:r>
            </w:hyperlink>
            <w:r>
              <w:rPr>
                <w:rFonts w:ascii="Arial" w:cs="Arial" w:eastAsia="Arial" w:hAnsi="Arial"/>
                <w:sz w:val="16"/>
                <w:szCs w:val="16"/>
                <w:color w:val="000000"/>
              </w:rPr>
              <w:t>.</w:t>
            </w:r>
          </w:p>
        </w:tc>
        <w:tc>
          <w:tcPr>
            <w:tcW w:w="6340" w:type="dxa"/>
            <w:vAlign w:val="bottom"/>
            <w:gridSpan w:val="19"/>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Mine Safety Disclosures</w:t>
              </w:r>
            </w:hyperlink>
          </w:p>
        </w:tc>
        <w:tc>
          <w:tcPr>
            <w:tcW w:w="840" w:type="dxa"/>
            <w:vAlign w:val="bottom"/>
            <w:gridSpan w:val="4"/>
          </w:tcPr>
          <w:p>
            <w:pPr>
              <w:jc w:val="center"/>
              <w:ind w:left="439"/>
              <w:spacing w:after="0"/>
              <w:rPr>
                <w:rFonts w:ascii="Arial" w:cs="Arial" w:eastAsia="Arial" w:hAnsi="Arial"/>
                <w:sz w:val="16"/>
                <w:szCs w:val="16"/>
                <w:color w:val="0000EE"/>
                <w:w w:val="89"/>
              </w:rPr>
            </w:pPr>
            <w:hyperlink w:anchor="page34">
              <w:r>
                <w:rPr>
                  <w:rFonts w:ascii="Arial" w:cs="Arial" w:eastAsia="Arial" w:hAnsi="Arial"/>
                  <w:sz w:val="16"/>
                  <w:szCs w:val="16"/>
                  <w:color w:val="0000EE"/>
                  <w:w w:val="89"/>
                </w:rPr>
                <w:t>32</w:t>
              </w:r>
            </w:hyperlink>
          </w:p>
        </w:tc>
      </w:tr>
      <w:tr>
        <w:trPr>
          <w:trHeight w:val="20"/>
        </w:trPr>
        <w:tc>
          <w:tcPr>
            <w:tcW w:w="42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740" w:type="dxa"/>
            <w:vAlign w:val="bottom"/>
            <w:gridSpan w:val="14"/>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37"/>
        </w:trPr>
        <w:tc>
          <w:tcPr>
            <w:tcW w:w="1860" w:type="dxa"/>
            <w:vAlign w:val="bottom"/>
            <w:gridSpan w:val="3"/>
          </w:tcPr>
          <w:p>
            <w:pPr>
              <w:spacing w:after="0"/>
              <w:rPr>
                <w:sz w:val="20"/>
                <w:szCs w:val="20"/>
                <w:color w:val="auto"/>
              </w:rPr>
            </w:pPr>
            <w:r>
              <w:rPr>
                <w:rFonts w:ascii="Arial" w:cs="Arial" w:eastAsia="Arial" w:hAnsi="Arial"/>
                <w:sz w:val="16"/>
                <w:szCs w:val="16"/>
                <w:color w:val="0000EE"/>
              </w:rPr>
              <w:t>Item 5</w:t>
            </w:r>
            <w:r>
              <w:rPr>
                <w:rFonts w:ascii="Arial" w:cs="Arial" w:eastAsia="Arial" w:hAnsi="Arial"/>
                <w:sz w:val="16"/>
                <w:szCs w:val="16"/>
                <w:color w:val="000000"/>
              </w:rPr>
              <w:t>.</w:t>
            </w:r>
          </w:p>
        </w:tc>
        <w:tc>
          <w:tcPr>
            <w:tcW w:w="6340" w:type="dxa"/>
            <w:vAlign w:val="bottom"/>
            <w:gridSpan w:val="19"/>
          </w:tcPr>
          <w:p>
            <w:pPr>
              <w:spacing w:after="0"/>
              <w:rPr>
                <w:sz w:val="20"/>
                <w:szCs w:val="20"/>
                <w:color w:val="auto"/>
              </w:rPr>
            </w:pPr>
            <w:r>
              <w:rPr>
                <w:rFonts w:ascii="Arial" w:cs="Arial" w:eastAsia="Arial" w:hAnsi="Arial"/>
                <w:sz w:val="16"/>
                <w:szCs w:val="16"/>
                <w:color w:val="0000EE"/>
              </w:rPr>
              <w:t>Other Information</w:t>
            </w:r>
          </w:p>
        </w:tc>
        <w:tc>
          <w:tcPr>
            <w:tcW w:w="840" w:type="dxa"/>
            <w:vAlign w:val="bottom"/>
            <w:gridSpan w:val="4"/>
          </w:tcPr>
          <w:p>
            <w:pPr>
              <w:jc w:val="center"/>
              <w:ind w:left="439"/>
              <w:spacing w:after="0"/>
              <w:rPr>
                <w:rFonts w:ascii="Arial" w:cs="Arial" w:eastAsia="Arial" w:hAnsi="Arial"/>
                <w:sz w:val="16"/>
                <w:szCs w:val="16"/>
                <w:color w:val="0000EE"/>
                <w:w w:val="89"/>
              </w:rPr>
            </w:pPr>
            <w:hyperlink w:anchor="page34">
              <w:r>
                <w:rPr>
                  <w:rFonts w:ascii="Arial" w:cs="Arial" w:eastAsia="Arial" w:hAnsi="Arial"/>
                  <w:sz w:val="16"/>
                  <w:szCs w:val="16"/>
                  <w:color w:val="0000EE"/>
                  <w:w w:val="89"/>
                </w:rPr>
                <w:t>32</w:t>
              </w:r>
            </w:hyperlink>
          </w:p>
        </w:tc>
      </w:tr>
      <w:tr>
        <w:trPr>
          <w:trHeight w:val="20"/>
        </w:trPr>
        <w:tc>
          <w:tcPr>
            <w:tcW w:w="42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160" w:type="dxa"/>
            <w:vAlign w:val="bottom"/>
            <w:gridSpan w:val="15"/>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37"/>
        </w:trPr>
        <w:tc>
          <w:tcPr>
            <w:tcW w:w="1860" w:type="dxa"/>
            <w:vAlign w:val="bottom"/>
            <w:gridSpan w:val="3"/>
          </w:tcPr>
          <w:p>
            <w:pPr>
              <w:spacing w:after="0"/>
              <w:rPr>
                <w:sz w:val="20"/>
                <w:szCs w:val="20"/>
                <w:color w:val="auto"/>
              </w:rPr>
            </w:pPr>
            <w:r>
              <w:rPr>
                <w:rFonts w:ascii="Arial" w:cs="Arial" w:eastAsia="Arial" w:hAnsi="Arial"/>
                <w:sz w:val="16"/>
                <w:szCs w:val="16"/>
                <w:color w:val="0000EE"/>
              </w:rPr>
              <w:t>Item 6</w:t>
            </w:r>
            <w:r>
              <w:rPr>
                <w:rFonts w:ascii="Arial" w:cs="Arial" w:eastAsia="Arial" w:hAnsi="Arial"/>
                <w:sz w:val="16"/>
                <w:szCs w:val="16"/>
                <w:color w:val="000000"/>
              </w:rPr>
              <w:t>.</w:t>
            </w:r>
          </w:p>
        </w:tc>
        <w:tc>
          <w:tcPr>
            <w:tcW w:w="6340" w:type="dxa"/>
            <w:vAlign w:val="bottom"/>
            <w:gridSpan w:val="19"/>
          </w:tcPr>
          <w:p>
            <w:pPr>
              <w:spacing w:after="0"/>
              <w:rPr>
                <w:sz w:val="20"/>
                <w:szCs w:val="20"/>
                <w:color w:val="auto"/>
              </w:rPr>
            </w:pPr>
            <w:r>
              <w:rPr>
                <w:rFonts w:ascii="Arial" w:cs="Arial" w:eastAsia="Arial" w:hAnsi="Arial"/>
                <w:sz w:val="16"/>
                <w:szCs w:val="16"/>
                <w:color w:val="0000EE"/>
              </w:rPr>
              <w:t>Exhibits</w:t>
            </w:r>
          </w:p>
        </w:tc>
        <w:tc>
          <w:tcPr>
            <w:tcW w:w="840" w:type="dxa"/>
            <w:vAlign w:val="bottom"/>
            <w:gridSpan w:val="4"/>
          </w:tcPr>
          <w:p>
            <w:pPr>
              <w:jc w:val="center"/>
              <w:ind w:left="439"/>
              <w:spacing w:after="0"/>
              <w:rPr>
                <w:rFonts w:ascii="Arial" w:cs="Arial" w:eastAsia="Arial" w:hAnsi="Arial"/>
                <w:sz w:val="16"/>
                <w:szCs w:val="16"/>
                <w:color w:val="0000EE"/>
                <w:w w:val="89"/>
              </w:rPr>
            </w:pPr>
            <w:hyperlink w:anchor="page35">
              <w:r>
                <w:rPr>
                  <w:rFonts w:ascii="Arial" w:cs="Arial" w:eastAsia="Arial" w:hAnsi="Arial"/>
                  <w:sz w:val="16"/>
                  <w:szCs w:val="16"/>
                  <w:color w:val="0000EE"/>
                  <w:w w:val="89"/>
                </w:rPr>
                <w:t>33</w:t>
              </w:r>
            </w:hyperlink>
          </w:p>
        </w:tc>
      </w:tr>
      <w:tr>
        <w:trPr>
          <w:trHeight w:val="20"/>
        </w:trPr>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40" w:type="dxa"/>
            <w:vAlign w:val="bottom"/>
            <w:gridSpan w:val="17"/>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gridSpan w:val="2"/>
          </w:tcPr>
          <w:p>
            <w:pPr>
              <w:spacing w:after="0"/>
              <w:rPr>
                <w:rFonts w:ascii="Arial" w:cs="Arial" w:eastAsia="Arial" w:hAnsi="Arial"/>
                <w:sz w:val="16"/>
                <w:szCs w:val="16"/>
                <w:color w:val="0000EE"/>
                <w:w w:val="88"/>
              </w:rPr>
            </w:pPr>
            <w:hyperlink w:anchor="page36">
              <w:r>
                <w:rPr>
                  <w:rFonts w:ascii="Arial" w:cs="Arial" w:eastAsia="Arial" w:hAnsi="Arial"/>
                  <w:sz w:val="16"/>
                  <w:szCs w:val="16"/>
                  <w:color w:val="0000EE"/>
                  <w:w w:val="88"/>
                </w:rPr>
                <w:t>Signatures</w:t>
              </w:r>
            </w:hyperlink>
          </w:p>
        </w:tc>
        <w:tc>
          <w:tcPr>
            <w:tcW w:w="5640" w:type="dxa"/>
            <w:vAlign w:val="bottom"/>
            <w:gridSpan w:val="17"/>
          </w:tcPr>
          <w:p>
            <w:pPr>
              <w:spacing w:after="0"/>
              <w:rPr>
                <w:sz w:val="20"/>
                <w:szCs w:val="20"/>
                <w:color w:val="auto"/>
              </w:rPr>
            </w:pPr>
          </w:p>
        </w:tc>
        <w:tc>
          <w:tcPr>
            <w:tcW w:w="840" w:type="dxa"/>
            <w:vAlign w:val="bottom"/>
            <w:gridSpan w:val="4"/>
          </w:tcPr>
          <w:p>
            <w:pPr>
              <w:jc w:val="center"/>
              <w:ind w:left="439"/>
              <w:spacing w:after="0"/>
              <w:rPr>
                <w:sz w:val="20"/>
                <w:szCs w:val="20"/>
                <w:color w:val="auto"/>
              </w:rPr>
            </w:pPr>
            <w:r>
              <w:rPr>
                <w:rFonts w:ascii="Arial" w:cs="Arial" w:eastAsia="Arial" w:hAnsi="Arial"/>
                <w:sz w:val="16"/>
                <w:szCs w:val="16"/>
                <w:color w:val="0000EE"/>
                <w:w w:val="89"/>
              </w:rPr>
              <w:t>34</w:t>
            </w:r>
          </w:p>
        </w:tc>
      </w:tr>
      <w:tr>
        <w:trPr>
          <w:trHeight w:val="27"/>
        </w:trPr>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99"/>
          </w:cols>
          <w:pgMar w:left="1360" w:top="337" w:right="1440" w:bottom="1440" w:gutter="0" w:footer="0" w:header="0"/>
        </w:sectPr>
      </w:pPr>
    </w:p>
    <w:bookmarkStart w:id="3" w:name="page4"/>
    <w:bookmarkEnd w:id="3"/>
    <w:p>
      <w:pPr>
        <w:ind w:left="452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8"/>
          <w:szCs w:val="18"/>
          <w:i w:val="1"/>
          <w:iCs w:val="1"/>
          <w:color w:val="auto"/>
        </w:rPr>
        <w:t>(Unaudited, dollars in thousands, except share data)</w:t>
      </w:r>
    </w:p>
    <w:p>
      <w:pPr>
        <w:spacing w:after="0" w:line="161"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6960" w:type="dxa"/>
            <w:vAlign w:val="bottom"/>
          </w:tcPr>
          <w:p>
            <w:pPr>
              <w:spacing w:after="0"/>
              <w:rPr>
                <w:sz w:val="17"/>
                <w:szCs w:val="17"/>
                <w:color w:val="auto"/>
              </w:rPr>
            </w:pPr>
          </w:p>
        </w:tc>
        <w:tc>
          <w:tcPr>
            <w:tcW w:w="1580" w:type="dxa"/>
            <w:vAlign w:val="bottom"/>
            <w:gridSpan w:val="3"/>
          </w:tcPr>
          <w:p>
            <w:pPr>
              <w:ind w:left="80"/>
              <w:spacing w:after="0"/>
              <w:rPr>
                <w:sz w:val="20"/>
                <w:szCs w:val="20"/>
                <w:color w:val="auto"/>
              </w:rPr>
            </w:pPr>
            <w:r>
              <w:rPr>
                <w:rFonts w:ascii="Arial" w:cs="Arial" w:eastAsia="Arial" w:hAnsi="Arial"/>
                <w:sz w:val="16"/>
                <w:szCs w:val="16"/>
                <w:color w:val="auto"/>
              </w:rPr>
              <w:t>November 30, 2019</w:t>
            </w:r>
          </w:p>
        </w:tc>
        <w:tc>
          <w:tcPr>
            <w:tcW w:w="16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w w:val="92"/>
              </w:rPr>
              <w:t>August 31, 2019</w:t>
            </w:r>
          </w:p>
        </w:tc>
      </w:tr>
      <w:tr>
        <w:trPr>
          <w:trHeight w:val="47"/>
        </w:trPr>
        <w:tc>
          <w:tcPr>
            <w:tcW w:w="69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266,341</w:t>
            </w:r>
          </w:p>
        </w:tc>
      </w:tr>
      <w:tr>
        <w:trPr>
          <w:trHeight w:val="237"/>
        </w:trPr>
        <w:tc>
          <w:tcPr>
            <w:tcW w:w="696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69,593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44,240</w:t>
            </w:r>
          </w:p>
        </w:tc>
      </w:tr>
      <w:tr>
        <w:trPr>
          <w:trHeight w:val="33"/>
        </w:trPr>
        <w:tc>
          <w:tcPr>
            <w:tcW w:w="6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38,085</w:t>
            </w:r>
          </w:p>
        </w:tc>
      </w:tr>
      <w:tr>
        <w:trPr>
          <w:trHeight w:val="237"/>
        </w:trPr>
        <w:tc>
          <w:tcPr>
            <w:tcW w:w="696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7,570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2,882</w:t>
            </w:r>
          </w:p>
        </w:tc>
      </w:tr>
      <w:tr>
        <w:trPr>
          <w:trHeight w:val="33"/>
        </w:trPr>
        <w:tc>
          <w:tcPr>
            <w:tcW w:w="6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6,059</w:t>
            </w:r>
          </w:p>
        </w:tc>
      </w:tr>
      <w:tr>
        <w:trPr>
          <w:trHeight w:val="217"/>
        </w:trPr>
        <w:tc>
          <w:tcPr>
            <w:tcW w:w="6960" w:type="dxa"/>
            <w:vAlign w:val="bottom"/>
          </w:tcPr>
          <w:p>
            <w:pPr>
              <w:ind w:left="140"/>
              <w:spacing w:after="0"/>
              <w:rPr>
                <w:sz w:val="20"/>
                <w:szCs w:val="20"/>
                <w:color w:val="auto"/>
              </w:rPr>
            </w:pPr>
            <w:r>
              <w:rPr>
                <w:rFonts w:ascii="Arial" w:cs="Arial" w:eastAsia="Arial" w:hAnsi="Arial"/>
                <w:sz w:val="16"/>
                <w:szCs w:val="16"/>
                <w:color w:val="auto"/>
              </w:rPr>
              <w:t>Total current assets</w:t>
            </w: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252,640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357,607</w:t>
            </w:r>
          </w:p>
        </w:tc>
      </w:tr>
      <w:tr>
        <w:trPr>
          <w:trHeight w:val="33"/>
        </w:trPr>
        <w:tc>
          <w:tcPr>
            <w:tcW w:w="6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9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Long-term assets:</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Property and equipment, net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2,456</w:t>
            </w:r>
          </w:p>
        </w:tc>
      </w:tr>
      <w:tr>
        <w:trPr>
          <w:trHeight w:val="237"/>
        </w:trPr>
        <w:tc>
          <w:tcPr>
            <w:tcW w:w="696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1,153,157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306,139</w:t>
            </w:r>
          </w:p>
        </w:tc>
      </w:tr>
      <w:tr>
        <w:trPr>
          <w:trHeight w:val="33"/>
        </w:trPr>
        <w:tc>
          <w:tcPr>
            <w:tcW w:w="6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471,427</w:t>
            </w:r>
          </w:p>
        </w:tc>
      </w:tr>
      <w:tr>
        <w:trPr>
          <w:trHeight w:val="237"/>
        </w:trPr>
        <w:tc>
          <w:tcPr>
            <w:tcW w:w="6960" w:type="dxa"/>
            <w:vAlign w:val="bottom"/>
          </w:tcPr>
          <w:p>
            <w:pPr>
              <w:ind w:left="140"/>
              <w:spacing w:after="0"/>
              <w:rPr>
                <w:sz w:val="20"/>
                <w:szCs w:val="20"/>
                <w:color w:val="auto"/>
              </w:rPr>
            </w:pPr>
            <w:r>
              <w:rPr>
                <w:rFonts w:ascii="Arial" w:cs="Arial" w:eastAsia="Arial" w:hAnsi="Arial"/>
                <w:sz w:val="16"/>
                <w:szCs w:val="16"/>
                <w:color w:val="auto"/>
              </w:rPr>
              <w:t>Other long-term assets</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29,720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4,021</w:t>
            </w:r>
          </w:p>
        </w:tc>
      </w:tr>
      <w:tr>
        <w:trPr>
          <w:trHeight w:val="33"/>
        </w:trPr>
        <w:tc>
          <w:tcPr>
            <w:tcW w:w="6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assets</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2,016,061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1,141,650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15,730</w:t>
            </w:r>
          </w:p>
        </w:tc>
      </w:tr>
      <w:tr>
        <w:trPr>
          <w:trHeight w:val="237"/>
        </w:trPr>
        <w:tc>
          <w:tcPr>
            <w:tcW w:w="696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1,693</w:t>
            </w:r>
          </w:p>
        </w:tc>
      </w:tr>
      <w:tr>
        <w:trPr>
          <w:trHeight w:val="33"/>
        </w:trPr>
        <w:tc>
          <w:tcPr>
            <w:tcW w:w="6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29,933</w:t>
            </w:r>
          </w:p>
        </w:tc>
      </w:tr>
      <w:tr>
        <w:trPr>
          <w:trHeight w:val="237"/>
        </w:trPr>
        <w:tc>
          <w:tcPr>
            <w:tcW w:w="6960" w:type="dxa"/>
            <w:vAlign w:val="bottom"/>
          </w:tcPr>
          <w:p>
            <w:pPr>
              <w:ind w:left="140"/>
              <w:spacing w:after="0"/>
              <w:rPr>
                <w:sz w:val="20"/>
                <w:szCs w:val="20"/>
                <w:color w:val="auto"/>
              </w:rPr>
            </w:pPr>
            <w:r>
              <w:rPr>
                <w:rFonts w:ascii="Arial" w:cs="Arial" w:eastAsia="Arial" w:hAnsi="Arial"/>
                <w:sz w:val="16"/>
                <w:szCs w:val="16"/>
                <w:color w:val="auto"/>
              </w:rPr>
              <w:t>Current maturities of long-term debt</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676</w:t>
            </w:r>
          </w:p>
        </w:tc>
      </w:tr>
      <w:tr>
        <w:trPr>
          <w:trHeight w:val="33"/>
        </w:trPr>
        <w:tc>
          <w:tcPr>
            <w:tcW w:w="6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current liabilities</w:t>
            </w: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48,032</w:t>
            </w:r>
          </w:p>
        </w:tc>
      </w:tr>
      <w:tr>
        <w:trPr>
          <w:trHeight w:val="270"/>
        </w:trPr>
        <w:tc>
          <w:tcPr>
            <w:tcW w:w="6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6960" w:type="dxa"/>
            <w:vAlign w:val="bottom"/>
          </w:tcPr>
          <w:p>
            <w:pPr>
              <w:ind w:left="140"/>
              <w:spacing w:after="0"/>
              <w:rPr>
                <w:sz w:val="20"/>
                <w:szCs w:val="20"/>
                <w:color w:val="auto"/>
              </w:rPr>
            </w:pPr>
            <w:r>
              <w:rPr>
                <w:rFonts w:ascii="Arial" w:cs="Arial" w:eastAsia="Arial" w:hAnsi="Arial"/>
                <w:sz w:val="16"/>
                <w:szCs w:val="16"/>
                <w:color w:val="auto"/>
              </w:rPr>
              <w:t>Long-term debt, less current maturities</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638,034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190,259</w:t>
            </w:r>
          </w:p>
        </w:tc>
      </w:tr>
      <w:tr>
        <w:trPr>
          <w:trHeight w:val="33"/>
        </w:trPr>
        <w:tc>
          <w:tcPr>
            <w:tcW w:w="6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65,383</w:t>
            </w:r>
          </w:p>
        </w:tc>
      </w:tr>
      <w:tr>
        <w:trPr>
          <w:trHeight w:val="237"/>
        </w:trPr>
        <w:tc>
          <w:tcPr>
            <w:tcW w:w="6960" w:type="dxa"/>
            <w:vAlign w:val="bottom"/>
          </w:tcPr>
          <w:p>
            <w:pPr>
              <w:ind w:left="140"/>
              <w:spacing w:after="0"/>
              <w:rPr>
                <w:sz w:val="20"/>
                <w:szCs w:val="20"/>
                <w:color w:val="auto"/>
              </w:rPr>
            </w:pPr>
            <w:r>
              <w:rPr>
                <w:rFonts w:ascii="Arial" w:cs="Arial" w:eastAsia="Arial" w:hAnsi="Arial"/>
                <w:sz w:val="16"/>
                <w:szCs w:val="16"/>
                <w:color w:val="auto"/>
              </w:rPr>
              <w:t>Other long-term liabilities</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22,103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532</w:t>
            </w:r>
          </w:p>
        </w:tc>
      </w:tr>
      <w:tr>
        <w:trPr>
          <w:trHeight w:val="33"/>
        </w:trPr>
        <w:tc>
          <w:tcPr>
            <w:tcW w:w="6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liabilities</w:t>
            </w: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832,380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304,206</w:t>
            </w: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See commitments and contingencies (Note 10)</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9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Preferred stock, $0.01 par value, 100,000,000 shares authorized, none issued</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6960" w:type="dxa"/>
            <w:vAlign w:val="bottom"/>
          </w:tcPr>
          <w:p>
            <w:pPr>
              <w:ind w:left="140"/>
              <w:spacing w:after="0"/>
              <w:rPr>
                <w:sz w:val="20"/>
                <w:szCs w:val="20"/>
                <w:color w:val="auto"/>
              </w:rPr>
            </w:pPr>
            <w:r>
              <w:rPr>
                <w:rFonts w:ascii="Arial" w:cs="Arial" w:eastAsia="Arial" w:hAnsi="Arial"/>
                <w:sz w:val="16"/>
                <w:szCs w:val="16"/>
                <w:color w:val="auto"/>
                <w:w w:val="93"/>
              </w:rPr>
              <w:t>Common stock, $0.01 par value, 600,000,000 shares authorized, 95,416,772 and 81,973,284 issued at</w:t>
            </w: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6"/>
        </w:trPr>
        <w:tc>
          <w:tcPr>
            <w:tcW w:w="6960" w:type="dxa"/>
            <w:vAlign w:val="bottom"/>
          </w:tcPr>
          <w:p>
            <w:pPr>
              <w:ind w:left="140"/>
              <w:spacing w:after="0"/>
              <w:rPr>
                <w:sz w:val="20"/>
                <w:szCs w:val="20"/>
                <w:color w:val="auto"/>
              </w:rPr>
            </w:pPr>
            <w:r>
              <w:rPr>
                <w:rFonts w:ascii="Arial" w:cs="Arial" w:eastAsia="Arial" w:hAnsi="Arial"/>
                <w:sz w:val="16"/>
                <w:szCs w:val="16"/>
                <w:color w:val="auto"/>
              </w:rPr>
              <w:t>November 30, 2019 and August 31, 2019, respectively</w:t>
            </w:r>
          </w:p>
        </w:tc>
        <w:tc>
          <w:tcPr>
            <w:tcW w:w="4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820</w:t>
            </w:r>
          </w:p>
        </w:tc>
      </w:tr>
      <w:tr>
        <w:trPr>
          <w:trHeight w:val="33"/>
        </w:trPr>
        <w:tc>
          <w:tcPr>
            <w:tcW w:w="6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0"/>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stock, 98,234 and 98,234 shares at cost at November 30, 2019 and August 31, 2019,</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respectively</w:t>
            </w:r>
          </w:p>
        </w:tc>
        <w:tc>
          <w:tcPr>
            <w:tcW w:w="4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(2,145)</w:t>
            </w:r>
          </w:p>
        </w:tc>
      </w:tr>
      <w:tr>
        <w:trPr>
          <w:trHeight w:val="237"/>
        </w:trPr>
        <w:tc>
          <w:tcPr>
            <w:tcW w:w="6960" w:type="dxa"/>
            <w:vAlign w:val="bottom"/>
          </w:tcPr>
          <w:p>
            <w:pPr>
              <w:ind w:left="140"/>
              <w:spacing w:after="0"/>
              <w:rPr>
                <w:sz w:val="20"/>
                <w:szCs w:val="20"/>
                <w:color w:val="auto"/>
              </w:rPr>
            </w:pPr>
            <w:r>
              <w:rPr>
                <w:rFonts w:ascii="Arial" w:cs="Arial" w:eastAsia="Arial" w:hAnsi="Arial"/>
                <w:sz w:val="16"/>
                <w:szCs w:val="16"/>
                <w:color w:val="auto"/>
              </w:rPr>
              <w:t>Additional paid-in-capital</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1,084,671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733,775</w:t>
            </w:r>
          </w:p>
        </w:tc>
      </w:tr>
      <w:tr>
        <w:trPr>
          <w:trHeight w:val="33"/>
        </w:trPr>
        <w:tc>
          <w:tcPr>
            <w:tcW w:w="6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105,830</w:t>
            </w:r>
          </w:p>
        </w:tc>
      </w:tr>
      <w:tr>
        <w:trPr>
          <w:trHeight w:val="237"/>
        </w:trPr>
        <w:tc>
          <w:tcPr>
            <w:tcW w:w="696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(836)</w:t>
            </w:r>
          </w:p>
        </w:tc>
      </w:tr>
      <w:tr>
        <w:trPr>
          <w:trHeight w:val="33"/>
        </w:trPr>
        <w:tc>
          <w:tcPr>
            <w:tcW w:w="6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stockholders’ equity</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1,183,681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837,444</w:t>
            </w:r>
          </w:p>
        </w:tc>
      </w:tr>
      <w:tr>
        <w:trPr>
          <w:trHeight w:val="244"/>
        </w:trPr>
        <w:tc>
          <w:tcPr>
            <w:tcW w:w="696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2,016,061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1,141,650</w:t>
            </w:r>
          </w:p>
        </w:tc>
      </w:tr>
      <w:tr>
        <w:trPr>
          <w:trHeight w:val="20"/>
        </w:trPr>
        <w:tc>
          <w:tcPr>
            <w:tcW w:w="69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8540" w:type="dxa"/>
            <w:vAlign w:val="bottom"/>
            <w:gridSpan w:val="4"/>
          </w:tcPr>
          <w:p>
            <w:pPr>
              <w:ind w:left="216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740"/>
          </w:cols>
          <w:pgMar w:left="240" w:top="337" w:right="919" w:bottom="1440" w:gutter="0" w:footer="0" w:header="0"/>
        </w:sectPr>
      </w:pPr>
    </w:p>
    <w:p>
      <w:pPr>
        <w:spacing w:after="0" w:line="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740"/>
          </w:cols>
          <w:pgMar w:left="240" w:top="337" w:right="9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940" w:right="1720"/>
        <w:spacing w:after="0" w:line="266" w:lineRule="auto"/>
        <w:rPr>
          <w:sz w:val="20"/>
          <w:szCs w:val="20"/>
          <w:color w:val="auto"/>
        </w:rPr>
      </w:pPr>
      <w:r>
        <w:rPr>
          <w:rFonts w:ascii="Arial" w:cs="Arial" w:eastAsia="Arial" w:hAnsi="Arial"/>
          <w:sz w:val="18"/>
          <w:szCs w:val="18"/>
          <w:b w:val="1"/>
          <w:bCs w:val="1"/>
          <w:color w:val="auto"/>
        </w:rPr>
        <w:t xml:space="preserve">The Simply Good Foods Company and Subsidiaries Condensed Consolidated Statements of Operations and Comprehensive (Loss) Income </w:t>
      </w:r>
      <w:r>
        <w:rPr>
          <w:rFonts w:ascii="Arial" w:cs="Arial" w:eastAsia="Arial" w:hAnsi="Arial"/>
          <w:sz w:val="18"/>
          <w:szCs w:val="18"/>
          <w:i w:val="1"/>
          <w:iCs w:val="1"/>
          <w:color w:val="auto"/>
        </w:rPr>
        <w:t>(Unaudited, dollars in thousands, except share and per share data)</w:t>
      </w:r>
    </w:p>
    <w:p>
      <w:pPr>
        <w:spacing w:after="0" w:line="131"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43815</wp:posOffset>
            </wp:positionV>
            <wp:extent cx="19208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93"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6980" w:type="dxa"/>
            <w:vAlign w:val="bottom"/>
          </w:tcPr>
          <w:p>
            <w:pPr>
              <w:spacing w:after="0"/>
              <w:rPr>
                <w:sz w:val="17"/>
                <w:szCs w:val="17"/>
                <w:color w:val="auto"/>
              </w:rPr>
            </w:pPr>
          </w:p>
        </w:tc>
        <w:tc>
          <w:tcPr>
            <w:tcW w:w="1580" w:type="dxa"/>
            <w:vAlign w:val="bottom"/>
            <w:gridSpan w:val="3"/>
          </w:tcPr>
          <w:p>
            <w:pPr>
              <w:ind w:left="80"/>
              <w:spacing w:after="0"/>
              <w:rPr>
                <w:sz w:val="20"/>
                <w:szCs w:val="20"/>
                <w:color w:val="auto"/>
              </w:rPr>
            </w:pPr>
            <w:r>
              <w:rPr>
                <w:rFonts w:ascii="Arial" w:cs="Arial" w:eastAsia="Arial" w:hAnsi="Arial"/>
                <w:sz w:val="16"/>
                <w:szCs w:val="16"/>
                <w:color w:val="auto"/>
              </w:rPr>
              <w:t>November 30, 2019</w:t>
            </w:r>
          </w:p>
        </w:tc>
        <w:tc>
          <w:tcPr>
            <w:tcW w:w="1460" w:type="dxa"/>
            <w:vAlign w:val="bottom"/>
            <w:gridSpan w:val="2"/>
          </w:tcPr>
          <w:p>
            <w:pPr>
              <w:jc w:val="right"/>
              <w:ind w:right="19"/>
              <w:spacing w:after="0"/>
              <w:rPr>
                <w:sz w:val="20"/>
                <w:szCs w:val="20"/>
                <w:color w:val="auto"/>
              </w:rPr>
            </w:pPr>
            <w:r>
              <w:rPr>
                <w:rFonts w:ascii="Arial" w:cs="Arial" w:eastAsia="Arial" w:hAnsi="Arial"/>
                <w:sz w:val="16"/>
                <w:szCs w:val="16"/>
                <w:color w:val="auto"/>
                <w:w w:val="95"/>
              </w:rPr>
              <w:t>November 24, 2018</w:t>
            </w:r>
          </w:p>
        </w:tc>
      </w:tr>
      <w:tr>
        <w:trPr>
          <w:trHeight w:val="33"/>
        </w:trPr>
        <w:tc>
          <w:tcPr>
            <w:tcW w:w="6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152,153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120,931</w:t>
            </w:r>
          </w:p>
        </w:tc>
      </w:tr>
      <w:tr>
        <w:trPr>
          <w:trHeight w:val="237"/>
        </w:trPr>
        <w:tc>
          <w:tcPr>
            <w:tcW w:w="698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89,947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69,011</w:t>
            </w:r>
          </w:p>
        </w:tc>
      </w:tr>
      <w:tr>
        <w:trPr>
          <w:trHeight w:val="33"/>
        </w:trPr>
        <w:tc>
          <w:tcPr>
            <w:tcW w:w="6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62,206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51,920</w:t>
            </w:r>
          </w:p>
        </w:tc>
      </w:tr>
      <w:tr>
        <w:trPr>
          <w:trHeight w:val="297"/>
        </w:trPr>
        <w:tc>
          <w:tcPr>
            <w:tcW w:w="6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140"/>
              <w:spacing w:after="0"/>
              <w:rPr>
                <w:sz w:val="20"/>
                <w:szCs w:val="20"/>
                <w:color w:val="auto"/>
              </w:rPr>
            </w:pPr>
            <w:r>
              <w:rPr>
                <w:rFonts w:ascii="Arial" w:cs="Arial" w:eastAsia="Arial" w:hAnsi="Arial"/>
                <w:sz w:val="16"/>
                <w:szCs w:val="16"/>
                <w:color w:val="auto"/>
              </w:rPr>
              <w:t>Selling and marketing</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18,434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15,319</w:t>
            </w:r>
          </w:p>
        </w:tc>
      </w:tr>
      <w:tr>
        <w:trPr>
          <w:trHeight w:val="33"/>
        </w:trPr>
        <w:tc>
          <w:tcPr>
            <w:tcW w:w="6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11,998</w:t>
            </w:r>
          </w:p>
        </w:tc>
      </w:tr>
      <w:tr>
        <w:trPr>
          <w:trHeight w:val="237"/>
        </w:trPr>
        <w:tc>
          <w:tcPr>
            <w:tcW w:w="69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1,849</w:t>
            </w:r>
          </w:p>
        </w:tc>
      </w:tr>
      <w:tr>
        <w:trPr>
          <w:trHeight w:val="33"/>
        </w:trPr>
        <w:tc>
          <w:tcPr>
            <w:tcW w:w="6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Business transaction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w:t>
            </w:r>
          </w:p>
        </w:tc>
      </w:tr>
      <w:tr>
        <w:trPr>
          <w:trHeight w:val="237"/>
        </w:trPr>
        <w:tc>
          <w:tcPr>
            <w:tcW w:w="6980" w:type="dxa"/>
            <w:vAlign w:val="bottom"/>
          </w:tcPr>
          <w:p>
            <w:pPr>
              <w:ind w:left="140"/>
              <w:spacing w:after="0"/>
              <w:rPr>
                <w:sz w:val="20"/>
                <w:szCs w:val="20"/>
                <w:color w:val="auto"/>
              </w:rPr>
            </w:pPr>
            <w:r>
              <w:rPr>
                <w:rFonts w:ascii="Arial" w:cs="Arial" w:eastAsia="Arial" w:hAnsi="Arial"/>
                <w:sz w:val="16"/>
                <w:szCs w:val="16"/>
                <w:color w:val="auto"/>
              </w:rPr>
              <w:t>Loss in fair value change of contingent consideration - TRA liability</w:t>
            </w:r>
          </w:p>
        </w:tc>
        <w:tc>
          <w:tcPr>
            <w:tcW w:w="3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533</w:t>
            </w:r>
          </w:p>
        </w:tc>
      </w:tr>
      <w:tr>
        <w:trPr>
          <w:trHeight w:val="33"/>
        </w:trPr>
        <w:tc>
          <w:tcPr>
            <w:tcW w:w="6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65,191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30,738</w:t>
            </w:r>
          </w:p>
        </w:tc>
      </w:tr>
      <w:tr>
        <w:trPr>
          <w:trHeight w:val="297"/>
        </w:trPr>
        <w:tc>
          <w:tcPr>
            <w:tcW w:w="6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21,182</w:t>
            </w:r>
          </w:p>
        </w:tc>
      </w:tr>
      <w:tr>
        <w:trPr>
          <w:trHeight w:val="297"/>
        </w:trPr>
        <w:tc>
          <w:tcPr>
            <w:tcW w:w="6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781</w:t>
            </w:r>
          </w:p>
        </w:tc>
      </w:tr>
      <w:tr>
        <w:trPr>
          <w:trHeight w:val="33"/>
        </w:trPr>
        <w:tc>
          <w:tcPr>
            <w:tcW w:w="6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(3,261)</w:t>
            </w:r>
          </w:p>
        </w:tc>
      </w:tr>
      <w:tr>
        <w:trPr>
          <w:trHeight w:val="237"/>
        </w:trPr>
        <w:tc>
          <w:tcPr>
            <w:tcW w:w="6980" w:type="dxa"/>
            <w:vAlign w:val="bottom"/>
          </w:tcPr>
          <w:p>
            <w:pPr>
              <w:ind w:left="140"/>
              <w:spacing w:after="0"/>
              <w:rPr>
                <w:sz w:val="20"/>
                <w:szCs w:val="20"/>
                <w:color w:val="auto"/>
              </w:rPr>
            </w:pPr>
            <w:r>
              <w:rPr>
                <w:rFonts w:ascii="Arial" w:cs="Arial" w:eastAsia="Arial" w:hAnsi="Arial"/>
                <w:sz w:val="16"/>
                <w:szCs w:val="16"/>
                <w:color w:val="auto"/>
              </w:rPr>
              <w:t>Gain on settlement of TRA liability</w:t>
            </w:r>
          </w:p>
        </w:tc>
        <w:tc>
          <w:tcPr>
            <w:tcW w:w="3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1,534</w:t>
            </w:r>
          </w:p>
        </w:tc>
      </w:tr>
      <w:tr>
        <w:trPr>
          <w:trHeight w:val="33"/>
        </w:trPr>
        <w:tc>
          <w:tcPr>
            <w:tcW w:w="6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Gain (loss) on foreign currency transactions</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37"/>
        </w:trPr>
        <w:tc>
          <w:tcPr>
            <w:tcW w:w="698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6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expense</w:t>
            </w: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w:t>
            </w:r>
          </w:p>
        </w:tc>
      </w:tr>
      <w:tr>
        <w:trPr>
          <w:trHeight w:val="297"/>
        </w:trPr>
        <w:tc>
          <w:tcPr>
            <w:tcW w:w="6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19,882</w:t>
            </w:r>
          </w:p>
        </w:tc>
      </w:tr>
      <w:tr>
        <w:trPr>
          <w:trHeight w:val="237"/>
        </w:trPr>
        <w:tc>
          <w:tcPr>
            <w:tcW w:w="698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4,625</w:t>
            </w:r>
          </w:p>
        </w:tc>
      </w:tr>
      <w:tr>
        <w:trPr>
          <w:trHeight w:val="33"/>
        </w:trPr>
        <w:tc>
          <w:tcPr>
            <w:tcW w:w="6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15,257</w:t>
            </w:r>
          </w:p>
        </w:tc>
      </w:tr>
      <w:tr>
        <w:trPr>
          <w:trHeight w:val="297"/>
        </w:trPr>
        <w:tc>
          <w:tcPr>
            <w:tcW w:w="6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income:</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142</w:t>
            </w:r>
          </w:p>
        </w:tc>
      </w:tr>
      <w:tr>
        <w:trPr>
          <w:trHeight w:val="33"/>
        </w:trPr>
        <w:tc>
          <w:tcPr>
            <w:tcW w:w="6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income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15,399</w:t>
            </w:r>
          </w:p>
        </w:tc>
      </w:tr>
      <w:tr>
        <w:trPr>
          <w:trHeight w:val="20"/>
        </w:trPr>
        <w:tc>
          <w:tcPr>
            <w:tcW w:w="6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4"/>
        </w:trPr>
        <w:tc>
          <w:tcPr>
            <w:tcW w:w="6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 from net (loss) income:</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140"/>
              <w:spacing w:after="0"/>
              <w:rPr>
                <w:sz w:val="20"/>
                <w:szCs w:val="20"/>
                <w:color w:val="auto"/>
              </w:rPr>
            </w:pPr>
            <w:r>
              <w:rPr>
                <w:rFonts w:ascii="Arial" w:cs="Arial" w:eastAsia="Arial" w:hAnsi="Arial"/>
                <w:sz w:val="16"/>
                <w:szCs w:val="16"/>
                <w:color w:val="auto"/>
              </w:rPr>
              <w:t>Basic</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0.20</w:t>
            </w:r>
          </w:p>
        </w:tc>
      </w:tr>
      <w:tr>
        <w:trPr>
          <w:trHeight w:val="33"/>
        </w:trPr>
        <w:tc>
          <w:tcPr>
            <w:tcW w:w="6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0.18</w:t>
            </w:r>
          </w:p>
        </w:tc>
      </w:tr>
      <w:tr>
        <w:trPr>
          <w:trHeight w:val="237"/>
        </w:trPr>
        <w:tc>
          <w:tcPr>
            <w:tcW w:w="698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89,708,633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77,290,307</w:t>
            </w:r>
          </w:p>
        </w:tc>
      </w:tr>
      <w:tr>
        <w:trPr>
          <w:trHeight w:val="237"/>
        </w:trPr>
        <w:tc>
          <w:tcPr>
            <w:tcW w:w="6980" w:type="dxa"/>
            <w:vAlign w:val="bottom"/>
          </w:tcPr>
          <w:p>
            <w:pPr>
              <w:ind w:left="140"/>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89,708,633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82,774,761</w:t>
            </w:r>
          </w:p>
        </w:tc>
      </w:tr>
    </w:tbl>
    <w:p>
      <w:pPr>
        <w:spacing w:after="0" w:line="23" w:lineRule="exact"/>
        <w:rPr>
          <w:sz w:val="20"/>
          <w:szCs w:val="20"/>
          <w:color w:val="auto"/>
        </w:rPr>
      </w:pPr>
    </w:p>
    <w:p>
      <w:pPr>
        <w:jc w:val="center"/>
        <w:ind w:right="-679"/>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40"/>
          </w:cols>
          <w:pgMar w:left="240" w:top="125" w:right="9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8"/>
          <w:szCs w:val="18"/>
          <w:i w:val="1"/>
          <w:iCs w:val="1"/>
          <w:color w:val="auto"/>
        </w:rPr>
        <w:t>(Unaudited, dollars in thousands)</w:t>
      </w:r>
    </w:p>
    <w:p>
      <w:pPr>
        <w:spacing w:after="0" w:line="161"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7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3"/>
          </w:tcPr>
          <w:p>
            <w:pPr>
              <w:jc w:val="right"/>
              <w:ind w:right="39"/>
              <w:spacing w:after="0"/>
              <w:rPr>
                <w:sz w:val="20"/>
                <w:szCs w:val="20"/>
                <w:color w:val="auto"/>
              </w:rPr>
            </w:pPr>
            <w:r>
              <w:rPr>
                <w:rFonts w:ascii="Arial" w:cs="Arial" w:eastAsia="Arial" w:hAnsi="Arial"/>
                <w:sz w:val="16"/>
                <w:szCs w:val="16"/>
                <w:color w:val="auto"/>
              </w:rPr>
              <w:t>Thirteen Weeks Ended</w:t>
            </w:r>
          </w:p>
        </w:tc>
        <w:tc>
          <w:tcPr>
            <w:tcW w:w="660" w:type="dxa"/>
            <w:vAlign w:val="bottom"/>
          </w:tcPr>
          <w:p>
            <w:pPr>
              <w:spacing w:after="0"/>
              <w:rPr>
                <w:sz w:val="17"/>
                <w:szCs w:val="17"/>
                <w:color w:val="auto"/>
              </w:rPr>
            </w:pPr>
          </w:p>
        </w:tc>
      </w:tr>
      <w:tr>
        <w:trPr>
          <w:trHeight w:val="47"/>
        </w:trPr>
        <w:tc>
          <w:tcPr>
            <w:tcW w:w="7000" w:type="dxa"/>
            <w:vAlign w:val="bottom"/>
          </w:tcPr>
          <w:p>
            <w:pPr>
              <w:spacing w:after="0"/>
              <w:rPr>
                <w:sz w:val="4"/>
                <w:szCs w:val="4"/>
                <w:color w:val="auto"/>
              </w:rPr>
            </w:pPr>
          </w:p>
        </w:tc>
        <w:tc>
          <w:tcPr>
            <w:tcW w:w="1560" w:type="dxa"/>
            <w:vAlign w:val="bottom"/>
            <w:tcBorders>
              <w:bottom w:val="single" w:sz="8" w:color="auto"/>
            </w:tcBorders>
            <w:gridSpan w:val="3"/>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r>
      <w:tr>
        <w:trPr>
          <w:trHeight w:val="231"/>
        </w:trPr>
        <w:tc>
          <w:tcPr>
            <w:tcW w:w="7000" w:type="dxa"/>
            <w:vAlign w:val="bottom"/>
          </w:tcPr>
          <w:p>
            <w:pPr>
              <w:spacing w:after="0"/>
              <w:rPr>
                <w:sz w:val="20"/>
                <w:szCs w:val="20"/>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November 30, 2019</w:t>
            </w:r>
          </w:p>
        </w:tc>
        <w:tc>
          <w:tcPr>
            <w:tcW w:w="1460" w:type="dxa"/>
            <w:vAlign w:val="bottom"/>
            <w:gridSpan w:val="2"/>
          </w:tcPr>
          <w:p>
            <w:pPr>
              <w:jc w:val="right"/>
              <w:ind w:right="19"/>
              <w:spacing w:after="0"/>
              <w:rPr>
                <w:sz w:val="20"/>
                <w:szCs w:val="20"/>
                <w:color w:val="auto"/>
              </w:rPr>
            </w:pPr>
            <w:r>
              <w:rPr>
                <w:rFonts w:ascii="Arial" w:cs="Arial" w:eastAsia="Arial" w:hAnsi="Arial"/>
                <w:sz w:val="16"/>
                <w:szCs w:val="16"/>
                <w:color w:val="auto"/>
                <w:w w:val="95"/>
              </w:rPr>
              <w:t>November 24, 2018</w:t>
            </w:r>
          </w:p>
        </w:tc>
      </w:tr>
      <w:tr>
        <w:trPr>
          <w:trHeight w:val="33"/>
        </w:trPr>
        <w:tc>
          <w:tcPr>
            <w:tcW w:w="70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7000" w:type="dxa"/>
            <w:vAlign w:val="bottom"/>
          </w:tcPr>
          <w:p>
            <w:pPr>
              <w:ind w:left="60"/>
              <w:spacing w:after="0"/>
              <w:rPr>
                <w:sz w:val="20"/>
                <w:szCs w:val="20"/>
                <w:color w:val="auto"/>
              </w:rPr>
            </w:pPr>
            <w:r>
              <w:rPr>
                <w:rFonts w:ascii="Arial" w:cs="Arial" w:eastAsia="Arial" w:hAnsi="Arial"/>
                <w:sz w:val="16"/>
                <w:szCs w:val="16"/>
                <w:color w:val="auto"/>
              </w:rPr>
              <w:t>Net (loss) income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(4,793)</w:t>
            </w:r>
          </w:p>
        </w:tc>
        <w:tc>
          <w:tcPr>
            <w:tcW w:w="120" w:type="dxa"/>
            <w:vAlign w:val="bottom"/>
          </w:tcPr>
          <w:p>
            <w:pPr>
              <w:spacing w:after="0"/>
              <w:rPr>
                <w:sz w:val="20"/>
                <w:szCs w:val="20"/>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15,257</w:t>
            </w:r>
          </w:p>
        </w:tc>
      </w:tr>
      <w:tr>
        <w:trPr>
          <w:trHeight w:val="33"/>
        </w:trPr>
        <w:tc>
          <w:tcPr>
            <w:tcW w:w="7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70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2,525</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1,886</w:t>
            </w:r>
          </w:p>
        </w:tc>
      </w:tr>
      <w:tr>
        <w:trPr>
          <w:trHeight w:val="33"/>
        </w:trPr>
        <w:tc>
          <w:tcPr>
            <w:tcW w:w="7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 and debt discount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r>
      <w:tr>
        <w:trPr>
          <w:trHeight w:val="237"/>
        </w:trPr>
        <w:tc>
          <w:tcPr>
            <w:tcW w:w="700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1,673</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1,061</w:t>
            </w:r>
          </w:p>
        </w:tc>
      </w:tr>
      <w:tr>
        <w:trPr>
          <w:trHeight w:val="33"/>
        </w:trPr>
        <w:tc>
          <w:tcPr>
            <w:tcW w:w="7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Loss on fair value change of contingent consideration - TRA liability</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w:t>
            </w:r>
          </w:p>
        </w:tc>
      </w:tr>
      <w:tr>
        <w:trPr>
          <w:trHeight w:val="237"/>
        </w:trPr>
        <w:tc>
          <w:tcPr>
            <w:tcW w:w="7000" w:type="dxa"/>
            <w:vAlign w:val="bottom"/>
          </w:tcPr>
          <w:p>
            <w:pPr>
              <w:ind w:left="220"/>
              <w:spacing w:after="0"/>
              <w:rPr>
                <w:sz w:val="20"/>
                <w:szCs w:val="20"/>
                <w:color w:val="auto"/>
              </w:rPr>
            </w:pPr>
            <w:r>
              <w:rPr>
                <w:rFonts w:ascii="Arial" w:cs="Arial" w:eastAsia="Arial" w:hAnsi="Arial"/>
                <w:sz w:val="16"/>
                <w:szCs w:val="16"/>
                <w:color w:val="auto"/>
              </w:rPr>
              <w:t>Gain on settlement of TRA liability</w:t>
            </w:r>
          </w:p>
        </w:tc>
        <w:tc>
          <w:tcPr>
            <w:tcW w:w="4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(1,534)</w:t>
            </w:r>
          </w:p>
        </w:tc>
      </w:tr>
      <w:tr>
        <w:trPr>
          <w:trHeight w:val="33"/>
        </w:trPr>
        <w:tc>
          <w:tcPr>
            <w:tcW w:w="7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Unrealized (gain) loss on foreign currency transactions</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r>
      <w:tr>
        <w:trPr>
          <w:trHeight w:val="237"/>
        </w:trPr>
        <w:tc>
          <w:tcPr>
            <w:tcW w:w="700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(1,853)</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4,465</w:t>
            </w:r>
          </w:p>
        </w:tc>
      </w:tr>
      <w:tr>
        <w:trPr>
          <w:trHeight w:val="33"/>
        </w:trPr>
        <w:tc>
          <w:tcPr>
            <w:tcW w:w="7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Amortization of operating lease right-of-use asset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00" w:type="dxa"/>
            <w:vAlign w:val="bottom"/>
          </w:tcPr>
          <w:p>
            <w:pPr>
              <w:ind w:left="220"/>
              <w:spacing w:after="0"/>
              <w:rPr>
                <w:sz w:val="20"/>
                <w:szCs w:val="20"/>
                <w:color w:val="auto"/>
              </w:rPr>
            </w:pPr>
            <w:r>
              <w:rPr>
                <w:rFonts w:ascii="Arial" w:cs="Arial" w:eastAsia="Arial" w:hAnsi="Arial"/>
                <w:sz w:val="16"/>
                <w:szCs w:val="16"/>
                <w:color w:val="auto"/>
              </w:rPr>
              <w:t>Other</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 net of acquisition:</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700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4,304</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(592)</w:t>
            </w:r>
          </w:p>
        </w:tc>
      </w:tr>
      <w:tr>
        <w:trPr>
          <w:trHeight w:val="33"/>
        </w:trPr>
        <w:tc>
          <w:tcPr>
            <w:tcW w:w="7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(9,740)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(8,112)</w:t>
            </w:r>
          </w:p>
        </w:tc>
      </w:tr>
      <w:tr>
        <w:trPr>
          <w:trHeight w:val="237"/>
        </w:trPr>
        <w:tc>
          <w:tcPr>
            <w:tcW w:w="7000" w:type="dxa"/>
            <w:vAlign w:val="bottom"/>
          </w:tcPr>
          <w:p>
            <w:pPr>
              <w:ind w:left="380"/>
              <w:spacing w:after="0"/>
              <w:rPr>
                <w:sz w:val="20"/>
                <w:szCs w:val="20"/>
                <w:color w:val="auto"/>
              </w:rPr>
            </w:pPr>
            <w:r>
              <w:rPr>
                <w:rFonts w:ascii="Arial" w:cs="Arial" w:eastAsia="Arial" w:hAnsi="Arial"/>
                <w:sz w:val="16"/>
                <w:szCs w:val="16"/>
                <w:color w:val="auto"/>
              </w:rPr>
              <w:t>Prepaid expenses</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(3,513)</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(2,042)</w:t>
            </w:r>
          </w:p>
        </w:tc>
      </w:tr>
      <w:tr>
        <w:trPr>
          <w:trHeight w:val="33"/>
        </w:trPr>
        <w:tc>
          <w:tcPr>
            <w:tcW w:w="7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(2,567)</w:t>
            </w:r>
          </w:p>
        </w:tc>
      </w:tr>
      <w:tr>
        <w:trPr>
          <w:trHeight w:val="237"/>
        </w:trPr>
        <w:tc>
          <w:tcPr>
            <w:tcW w:w="700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(6,533)</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5,777</w:t>
            </w:r>
          </w:p>
        </w:tc>
      </w:tr>
      <w:tr>
        <w:trPr>
          <w:trHeight w:val="33"/>
        </w:trPr>
        <w:tc>
          <w:tcPr>
            <w:tcW w:w="7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interest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37"/>
        </w:trPr>
        <w:tc>
          <w:tcPr>
            <w:tcW w:w="700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8,556</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(1,885)</w:t>
            </w:r>
          </w:p>
        </w:tc>
      </w:tr>
      <w:tr>
        <w:trPr>
          <w:trHeight w:val="33"/>
        </w:trPr>
        <w:tc>
          <w:tcPr>
            <w:tcW w:w="7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assets and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17"/>
        </w:trPr>
        <w:tc>
          <w:tcPr>
            <w:tcW w:w="7000" w:type="dxa"/>
            <w:vAlign w:val="bottom"/>
          </w:tcPr>
          <w:p>
            <w:pPr>
              <w:ind w:left="60"/>
              <w:spacing w:after="0"/>
              <w:rPr>
                <w:sz w:val="20"/>
                <w:szCs w:val="20"/>
                <w:color w:val="auto"/>
              </w:rPr>
            </w:pPr>
            <w:r>
              <w:rPr>
                <w:rFonts w:ascii="Arial" w:cs="Arial" w:eastAsia="Arial" w:hAnsi="Arial"/>
                <w:sz w:val="16"/>
                <w:szCs w:val="16"/>
                <w:color w:val="auto"/>
              </w:rPr>
              <w:t>Net cash (used in) provided by operating activities</w:t>
            </w: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(7,928)</w:t>
            </w: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12,948</w:t>
            </w:r>
          </w:p>
        </w:tc>
      </w:tr>
      <w:tr>
        <w:trPr>
          <w:trHeight w:val="33"/>
        </w:trPr>
        <w:tc>
          <w:tcPr>
            <w:tcW w:w="70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77"/>
        </w:trPr>
        <w:tc>
          <w:tcPr>
            <w:tcW w:w="70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37"/>
        </w:trPr>
        <w:tc>
          <w:tcPr>
            <w:tcW w:w="7000" w:type="dxa"/>
            <w:vAlign w:val="bottom"/>
          </w:tcPr>
          <w:p>
            <w:pPr>
              <w:ind w:left="60"/>
              <w:spacing w:after="0"/>
              <w:rPr>
                <w:sz w:val="20"/>
                <w:szCs w:val="20"/>
                <w:color w:val="auto"/>
              </w:rPr>
            </w:pPr>
            <w:r>
              <w:rPr>
                <w:rFonts w:ascii="Arial" w:cs="Arial" w:eastAsia="Arial" w:hAnsi="Arial"/>
                <w:sz w:val="16"/>
                <w:szCs w:val="16"/>
                <w:color w:val="auto"/>
              </w:rPr>
              <w:t>Investing activities</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3"/>
        </w:trPr>
        <w:tc>
          <w:tcPr>
            <w:tcW w:w="7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Purchases of property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37"/>
        </w:trPr>
        <w:tc>
          <w:tcPr>
            <w:tcW w:w="7000" w:type="dxa"/>
            <w:vAlign w:val="bottom"/>
          </w:tcPr>
          <w:p>
            <w:pPr>
              <w:ind w:left="160"/>
              <w:spacing w:after="0"/>
              <w:rPr>
                <w:sz w:val="20"/>
                <w:szCs w:val="20"/>
                <w:color w:val="auto"/>
              </w:rPr>
            </w:pPr>
            <w:r>
              <w:rPr>
                <w:rFonts w:ascii="Arial" w:cs="Arial" w:eastAsia="Arial" w:hAnsi="Arial"/>
                <w:sz w:val="16"/>
                <w:szCs w:val="16"/>
                <w:color w:val="auto"/>
              </w:rPr>
              <w:t>Issuance of note receivable</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Acquisition of business, net of cash acquired</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(984,201)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000" w:type="dxa"/>
            <w:vAlign w:val="bottom"/>
          </w:tcPr>
          <w:p>
            <w:pPr>
              <w:ind w:left="60"/>
              <w:spacing w:after="0"/>
              <w:rPr>
                <w:sz w:val="20"/>
                <w:szCs w:val="20"/>
                <w:color w:val="auto"/>
              </w:rPr>
            </w:pPr>
            <w:r>
              <w:rPr>
                <w:rFonts w:ascii="Arial" w:cs="Arial" w:eastAsia="Arial" w:hAnsi="Arial"/>
                <w:sz w:val="16"/>
                <w:szCs w:val="16"/>
                <w:color w:val="auto"/>
              </w:rPr>
              <w:t>Net cash (used in) investing activities</w:t>
            </w: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(985,731)</w:t>
            </w: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(494)</w:t>
            </w:r>
          </w:p>
        </w:tc>
      </w:tr>
      <w:tr>
        <w:trPr>
          <w:trHeight w:val="33"/>
        </w:trPr>
        <w:tc>
          <w:tcPr>
            <w:tcW w:w="70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77"/>
        </w:trPr>
        <w:tc>
          <w:tcPr>
            <w:tcW w:w="70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bl>
    <w:p>
      <w:pPr>
        <w:spacing w:after="0" w:line="31" w:lineRule="exact"/>
        <w:rPr>
          <w:sz w:val="20"/>
          <w:szCs w:val="20"/>
          <w:color w:val="auto"/>
        </w:rPr>
      </w:pPr>
    </w:p>
    <w:p>
      <w:pPr>
        <w:sectPr>
          <w:pgSz w:w="11900" w:h="16838" w:orient="portrait"/>
          <w:cols w:equalWidth="0" w:num="1">
            <w:col w:w="10740"/>
          </w:cols>
          <w:pgMar w:left="240" w:top="125" w:right="919" w:bottom="1138" w:gutter="0" w:footer="0" w:header="0"/>
        </w:sectPr>
      </w:pPr>
    </w:p>
    <w:p>
      <w:pPr>
        <w:ind w:left="78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34925</wp:posOffset>
            </wp:positionV>
            <wp:extent cx="636333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63335" cy="171450"/>
                    </a:xfrm>
                    <a:prstGeom prst="rect">
                      <a:avLst/>
                    </a:prstGeom>
                    <a:noFill/>
                  </pic:spPr>
                </pic:pic>
              </a:graphicData>
            </a:graphic>
          </wp:anchor>
        </w:drawing>
      </w:r>
    </w:p>
    <w:p>
      <w:pPr>
        <w:spacing w:after="0" w:line="5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Proceeds from option exercises</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Tax payments related to issuance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58420</wp:posOffset>
            </wp:positionV>
            <wp:extent cx="636333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3335" cy="171450"/>
                    </a:xfrm>
                    <a:prstGeom prst="rect">
                      <a:avLst/>
                    </a:prstGeom>
                    <a:noFill/>
                  </pic:spPr>
                </pic:pic>
              </a:graphicData>
            </a:graphic>
          </wp:anchor>
        </w:drawing>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Payments on finance lease obligations</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Cash received from warrant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43815</wp:posOffset>
            </wp:positionV>
            <wp:extent cx="636333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3335" cy="171450"/>
                    </a:xfrm>
                    <a:prstGeom prst="rect">
                      <a:avLst/>
                    </a:prstGeom>
                    <a:noFill/>
                  </pic:spPr>
                </pic:pic>
              </a:graphicData>
            </a:graphic>
          </wp:anchor>
        </w:drawing>
      </w:r>
    </w:p>
    <w:p>
      <w:pPr>
        <w:spacing w:after="0" w:line="6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Settlement of TRA liability</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Principal 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43815</wp:posOffset>
            </wp:positionV>
            <wp:extent cx="636333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3335" cy="171450"/>
                    </a:xfrm>
                    <a:prstGeom prst="rect">
                      <a:avLst/>
                    </a:prstGeom>
                    <a:noFill/>
                  </pic:spPr>
                </pic:pic>
              </a:graphicData>
            </a:graphic>
          </wp:anchor>
        </w:drawing>
      </w:r>
    </w:p>
    <w:p>
      <w:pPr>
        <w:spacing w:after="0" w:line="6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Proceeds from issuance of common stock</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Equity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43815</wp:posOffset>
            </wp:positionV>
            <wp:extent cx="636333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3335" cy="171450"/>
                    </a:xfrm>
                    <a:prstGeom prst="rect">
                      <a:avLst/>
                    </a:prstGeom>
                    <a:noFill/>
                  </pic:spPr>
                </pic:pic>
              </a:graphicData>
            </a:graphic>
          </wp:anchor>
        </w:drawing>
      </w:r>
    </w:p>
    <w:p>
      <w:pPr>
        <w:spacing w:after="0" w:line="6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Proceeds from issuance of long term debt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34925</wp:posOffset>
            </wp:positionV>
            <wp:extent cx="636333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63335" cy="171450"/>
                    </a:xfrm>
                    <a:prstGeom prst="rect">
                      <a:avLst/>
                    </a:prstGeom>
                    <a:noFill/>
                  </pic:spPr>
                </pic:pic>
              </a:graphicData>
            </a:graphic>
          </wp:anchor>
        </w:drawing>
      </w:r>
    </w:p>
    <w:p>
      <w:pPr>
        <w:spacing w:after="0" w:line="6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224155</wp:posOffset>
            </wp:positionV>
            <wp:extent cx="636333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3335" cy="171450"/>
                    </a:xfrm>
                    <a:prstGeom prst="rect">
                      <a:avLst/>
                    </a:prstGeom>
                    <a:noFill/>
                  </pic:spPr>
                </pic:pic>
              </a:graphicData>
            </a:graphic>
          </wp:anchor>
        </w:drawing>
      </w:r>
    </w:p>
    <w:p>
      <w:pPr>
        <w:spacing w:after="0" w:line="36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Net increase (decrease)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34925</wp:posOffset>
            </wp:positionV>
            <wp:extent cx="636333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3335" cy="171450"/>
                    </a:xfrm>
                    <a:prstGeom prst="rect">
                      <a:avLst/>
                    </a:prstGeom>
                    <a:noFill/>
                  </pic:spPr>
                </pic:pic>
              </a:graphicData>
            </a:graphic>
          </wp:anchor>
        </w:drawing>
      </w:r>
    </w:p>
    <w:p>
      <w:pPr>
        <w:spacing w:after="0" w:line="6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Effect of exchange rate on cash</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34925</wp:posOffset>
            </wp:positionV>
            <wp:extent cx="636333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3335" cy="180340"/>
                    </a:xfrm>
                    <a:prstGeom prst="rect">
                      <a:avLst/>
                    </a:prstGeom>
                    <a:noFill/>
                  </pic:spPr>
                </pic:pic>
              </a:graphicData>
            </a:graphic>
          </wp:anchor>
        </w:drawing>
      </w:r>
    </w:p>
    <w:p>
      <w:pPr>
        <w:spacing w:after="0" w:line="8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270"/>
        </w:trPr>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4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113,464</w:t>
            </w:r>
          </w:p>
        </w:tc>
      </w:tr>
      <w:tr>
        <w:trPr>
          <w:trHeight w:val="270"/>
        </w:trPr>
        <w:tc>
          <w:tcPr>
            <w:tcW w:w="44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(26,468)</w:t>
            </w:r>
          </w:p>
        </w:tc>
      </w:tr>
      <w:tr>
        <w:trPr>
          <w:trHeight w:val="270"/>
        </w:trPr>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70"/>
        </w:trPr>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352,542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460,000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(8,208)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800,071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86,549</w:t>
            </w:r>
          </w:p>
        </w:tc>
      </w:tr>
      <w:tr>
        <w:trPr>
          <w:trHeight w:val="33"/>
        </w:trPr>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784"/>
        </w:trPr>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(193,588)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99,003</w:t>
            </w:r>
          </w:p>
        </w:tc>
      </w:tr>
      <w:tr>
        <w:trPr>
          <w:trHeight w:val="270"/>
        </w:trPr>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70"/>
        </w:trPr>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266,341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111,971</w:t>
            </w:r>
          </w:p>
        </w:tc>
      </w:tr>
      <w:tr>
        <w:trPr>
          <w:trHeight w:val="33"/>
        </w:trPr>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72,711</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210,761</w:t>
            </w:r>
          </w:p>
        </w:tc>
      </w:tr>
      <w:tr>
        <w:trPr>
          <w:trHeight w:val="33"/>
        </w:trPr>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00" w:space="720"/>
            <w:col w:w="3020"/>
          </w:cols>
          <w:pgMar w:left="240" w:top="125" w:right="919" w:bottom="1138" w:gutter="0" w:footer="0" w:header="0"/>
          <w:type w:val="continuous"/>
        </w:sectPr>
      </w:pPr>
    </w:p>
    <w:p>
      <w:pPr>
        <w:spacing w:after="0" w:line="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740"/>
          </w:cols>
          <w:pgMar w:left="240" w:top="125" w:right="919" w:bottom="1138"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7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60" w:type="dxa"/>
            <w:vAlign w:val="bottom"/>
            <w:gridSpan w:val="3"/>
          </w:tcPr>
          <w:p>
            <w:pPr>
              <w:jc w:val="right"/>
              <w:ind w:right="79"/>
              <w:spacing w:after="0"/>
              <w:rPr>
                <w:sz w:val="20"/>
                <w:szCs w:val="20"/>
                <w:color w:val="auto"/>
              </w:rPr>
            </w:pPr>
            <w:r>
              <w:rPr>
                <w:rFonts w:ascii="Arial" w:cs="Arial" w:eastAsia="Arial" w:hAnsi="Arial"/>
                <w:sz w:val="16"/>
                <w:szCs w:val="16"/>
                <w:color w:val="auto"/>
              </w:rPr>
              <w:t>Thirteen Weeks Ended</w:t>
            </w:r>
          </w:p>
        </w:tc>
        <w:tc>
          <w:tcPr>
            <w:tcW w:w="600" w:type="dxa"/>
            <w:vAlign w:val="bottom"/>
          </w:tcPr>
          <w:p>
            <w:pPr>
              <w:spacing w:after="0"/>
              <w:rPr>
                <w:sz w:val="17"/>
                <w:szCs w:val="17"/>
                <w:color w:val="auto"/>
              </w:rPr>
            </w:pPr>
          </w:p>
        </w:tc>
      </w:tr>
      <w:tr>
        <w:trPr>
          <w:trHeight w:val="47"/>
        </w:trPr>
        <w:tc>
          <w:tcPr>
            <w:tcW w:w="7040" w:type="dxa"/>
            <w:vAlign w:val="bottom"/>
          </w:tcPr>
          <w:p>
            <w:pPr>
              <w:spacing w:after="0"/>
              <w:rPr>
                <w:sz w:val="4"/>
                <w:szCs w:val="4"/>
                <w:color w:val="auto"/>
              </w:rPr>
            </w:pPr>
          </w:p>
        </w:tc>
        <w:tc>
          <w:tcPr>
            <w:tcW w:w="154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r>
      <w:tr>
        <w:trPr>
          <w:trHeight w:val="231"/>
        </w:trPr>
        <w:tc>
          <w:tcPr>
            <w:tcW w:w="7040" w:type="dxa"/>
            <w:vAlign w:val="bottom"/>
          </w:tcPr>
          <w:p>
            <w:pPr>
              <w:spacing w:after="0"/>
              <w:rPr>
                <w:sz w:val="20"/>
                <w:szCs w:val="20"/>
                <w:color w:val="auto"/>
              </w:rPr>
            </w:pPr>
          </w:p>
        </w:tc>
        <w:tc>
          <w:tcPr>
            <w:tcW w:w="1540" w:type="dxa"/>
            <w:vAlign w:val="bottom"/>
            <w:gridSpan w:val="3"/>
          </w:tcPr>
          <w:p>
            <w:pPr>
              <w:ind w:left="60"/>
              <w:spacing w:after="0"/>
              <w:rPr>
                <w:sz w:val="20"/>
                <w:szCs w:val="20"/>
                <w:color w:val="auto"/>
              </w:rPr>
            </w:pPr>
            <w:r>
              <w:rPr>
                <w:rFonts w:ascii="Arial" w:cs="Arial" w:eastAsia="Arial" w:hAnsi="Arial"/>
                <w:sz w:val="16"/>
                <w:szCs w:val="16"/>
                <w:color w:val="auto"/>
              </w:rPr>
              <w:t>November 30, 2019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w w:val="95"/>
              </w:rPr>
              <w:t>November 24, 2018</w:t>
            </w:r>
          </w:p>
        </w:tc>
      </w:tr>
      <w:tr>
        <w:trPr>
          <w:trHeight w:val="33"/>
        </w:trPr>
        <w:tc>
          <w:tcPr>
            <w:tcW w:w="7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Supplemental disclosures of cash flow information</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160"/>
              <w:spacing w:after="0"/>
              <w:rPr>
                <w:sz w:val="20"/>
                <w:szCs w:val="20"/>
                <w:color w:val="auto"/>
              </w:rPr>
            </w:pPr>
            <w:r>
              <w:rPr>
                <w:rFonts w:ascii="Arial" w:cs="Arial" w:eastAsia="Arial" w:hAnsi="Arial"/>
                <w:sz w:val="16"/>
                <w:szCs w:val="16"/>
                <w:color w:val="auto"/>
              </w:rPr>
              <w:t>Cash paid for interest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2,978</w:t>
            </w:r>
          </w:p>
        </w:tc>
        <w:tc>
          <w:tcPr>
            <w:tcW w:w="100" w:type="dxa"/>
            <w:vAlign w:val="bottom"/>
          </w:tcPr>
          <w:p>
            <w:pPr>
              <w:spacing w:after="0"/>
              <w:rPr>
                <w:sz w:val="20"/>
                <w:szCs w:val="20"/>
                <w:color w:val="auto"/>
              </w:rPr>
            </w:pP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2,963</w:t>
            </w:r>
          </w:p>
        </w:tc>
      </w:tr>
      <w:tr>
        <w:trPr>
          <w:trHeight w:val="33"/>
        </w:trPr>
        <w:tc>
          <w:tcPr>
            <w:tcW w:w="7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paid for taxes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37"/>
        </w:trPr>
        <w:tc>
          <w:tcPr>
            <w:tcW w:w="7040" w:type="dxa"/>
            <w:vAlign w:val="bottom"/>
          </w:tcPr>
          <w:p>
            <w:pPr>
              <w:ind w:left="20"/>
              <w:spacing w:after="0"/>
              <w:rPr>
                <w:sz w:val="20"/>
                <w:szCs w:val="20"/>
                <w:color w:val="auto"/>
              </w:rPr>
            </w:pPr>
            <w:r>
              <w:rPr>
                <w:rFonts w:ascii="Arial" w:cs="Arial" w:eastAsia="Arial" w:hAnsi="Arial"/>
                <w:sz w:val="16"/>
                <w:szCs w:val="16"/>
                <w:color w:val="auto"/>
              </w:rPr>
              <w:t>Non-cash investing and financing transaction</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assets recognized at ASU No 2016-02 transition</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040" w:type="dxa"/>
            <w:vAlign w:val="bottom"/>
          </w:tcPr>
          <w:p>
            <w:pPr>
              <w:ind w:left="140"/>
              <w:spacing w:after="0"/>
              <w:rPr>
                <w:sz w:val="20"/>
                <w:szCs w:val="20"/>
                <w:color w:val="auto"/>
              </w:rPr>
            </w:pPr>
            <w:r>
              <w:rPr>
                <w:rFonts w:ascii="Arial" w:cs="Arial" w:eastAsia="Arial" w:hAnsi="Arial"/>
                <w:sz w:val="16"/>
                <w:szCs w:val="16"/>
                <w:color w:val="auto"/>
              </w:rPr>
              <w:t>Finance lease right-of-use assets recognized at ASU No 2016-02 transition</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20"/>
                <w:szCs w:val="20"/>
                <w:color w:val="auto"/>
              </w:rPr>
            </w:pP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39" w:lineRule="exact"/>
        <w:rPr>
          <w:sz w:val="20"/>
          <w:szCs w:val="20"/>
          <w:color w:val="auto"/>
        </w:rPr>
      </w:pPr>
    </w:p>
    <w:p>
      <w:pPr>
        <w:jc w:val="center"/>
        <w:ind w:right="-679"/>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40"/>
          </w:cols>
          <w:pgMar w:left="240" w:top="125" w:right="9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i w:val="1"/>
          <w:iCs w:val="1"/>
          <w:color w:val="auto"/>
        </w:rPr>
        <w:t>(Unaudited, dollars in thousands, except share data)</w:t>
      </w:r>
    </w:p>
    <w:p>
      <w:pPr>
        <w:spacing w:after="0" w:line="370"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6"/>
          </w:tcPr>
          <w:p>
            <w:pPr>
              <w:jc w:val="right"/>
              <w:spacing w:after="0"/>
              <w:rPr>
                <w:sz w:val="20"/>
                <w:szCs w:val="20"/>
                <w:color w:val="auto"/>
              </w:rPr>
            </w:pPr>
            <w:r>
              <w:rPr>
                <w:rFonts w:ascii="Arial" w:cs="Arial" w:eastAsia="Arial" w:hAnsi="Arial"/>
                <w:sz w:val="15"/>
                <w:szCs w:val="15"/>
                <w:b w:val="1"/>
                <w:bCs w:val="1"/>
                <w:color w:val="auto"/>
              </w:rPr>
              <w:t>Common Stock</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5"/>
          </w:tcPr>
          <w:p>
            <w:pPr>
              <w:jc w:val="center"/>
              <w:ind w:right="42"/>
              <w:spacing w:after="0"/>
              <w:rPr>
                <w:sz w:val="20"/>
                <w:szCs w:val="20"/>
                <w:color w:val="auto"/>
              </w:rPr>
            </w:pPr>
            <w:r>
              <w:rPr>
                <w:rFonts w:ascii="Arial" w:cs="Arial" w:eastAsia="Arial" w:hAnsi="Arial"/>
                <w:sz w:val="15"/>
                <w:szCs w:val="15"/>
                <w:b w:val="1"/>
                <w:bCs w:val="1"/>
                <w:color w:val="auto"/>
                <w:w w:val="90"/>
              </w:rPr>
              <w:t>Treasury Stock</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5"/>
                <w:szCs w:val="15"/>
                <w:b w:val="1"/>
                <w:bCs w:val="1"/>
                <w:color w:val="auto"/>
              </w:rPr>
              <w:t>Additional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4"/>
            <w:vMerge w:val="restart"/>
          </w:tcPr>
          <w:p>
            <w:pPr>
              <w:ind w:left="20"/>
              <w:spacing w:after="0"/>
              <w:rPr>
                <w:sz w:val="20"/>
                <w:szCs w:val="20"/>
                <w:color w:val="auto"/>
              </w:rPr>
            </w:pPr>
            <w:r>
              <w:rPr>
                <w:rFonts w:ascii="Arial" w:cs="Arial" w:eastAsia="Arial" w:hAnsi="Arial"/>
                <w:sz w:val="15"/>
                <w:szCs w:val="15"/>
                <w:b w:val="1"/>
                <w:bCs w:val="1"/>
                <w:color w:val="auto"/>
              </w:rPr>
              <w:t>Accumulated Other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3"/>
            <w:vMerge w:val="restart"/>
          </w:tcPr>
          <w:p>
            <w:pPr>
              <w:jc w:val="right"/>
              <w:ind w:right="340"/>
              <w:spacing w:after="0" w:line="145" w:lineRule="exact"/>
              <w:rPr>
                <w:sz w:val="20"/>
                <w:szCs w:val="20"/>
                <w:color w:val="auto"/>
              </w:rPr>
            </w:pPr>
            <w:r>
              <w:rPr>
                <w:rFonts w:ascii="Arial" w:cs="Arial" w:eastAsia="Arial" w:hAnsi="Arial"/>
                <w:sz w:val="15"/>
                <w:szCs w:val="15"/>
                <w:b w:val="1"/>
                <w:bCs w:val="1"/>
                <w:color w:val="auto"/>
              </w:rPr>
              <w:t>Paid-In</w:t>
            </w:r>
          </w:p>
        </w:tc>
        <w:tc>
          <w:tcPr>
            <w:tcW w:w="20" w:type="dxa"/>
            <w:vAlign w:val="bottom"/>
          </w:tcPr>
          <w:p>
            <w:pPr>
              <w:spacing w:after="0"/>
              <w:rPr>
                <w:sz w:val="6"/>
                <w:szCs w:val="6"/>
                <w:color w:val="auto"/>
              </w:rPr>
            </w:pPr>
          </w:p>
        </w:tc>
        <w:tc>
          <w:tcPr>
            <w:tcW w:w="1480" w:type="dxa"/>
            <w:vAlign w:val="bottom"/>
            <w:gridSpan w:val="5"/>
            <w:vMerge w:val="restart"/>
          </w:tcPr>
          <w:p>
            <w:pPr>
              <w:ind w:left="60"/>
              <w:spacing w:after="0" w:line="145" w:lineRule="exact"/>
              <w:rPr>
                <w:sz w:val="20"/>
                <w:szCs w:val="20"/>
                <w:color w:val="auto"/>
              </w:rPr>
            </w:pPr>
            <w:r>
              <w:rPr>
                <w:rFonts w:ascii="Arial" w:cs="Arial" w:eastAsia="Arial" w:hAnsi="Arial"/>
                <w:sz w:val="15"/>
                <w:szCs w:val="15"/>
                <w:b w:val="1"/>
                <w:bCs w:val="1"/>
                <w:color w:val="auto"/>
              </w:rPr>
              <w:t>Retained Earnings</w:t>
            </w:r>
          </w:p>
        </w:tc>
        <w:tc>
          <w:tcPr>
            <w:tcW w:w="60" w:type="dxa"/>
            <w:vAlign w:val="bottom"/>
          </w:tcPr>
          <w:p>
            <w:pPr>
              <w:spacing w:after="0"/>
              <w:rPr>
                <w:sz w:val="6"/>
                <w:szCs w:val="6"/>
                <w:color w:val="auto"/>
              </w:rPr>
            </w:pPr>
          </w:p>
        </w:tc>
        <w:tc>
          <w:tcPr>
            <w:tcW w:w="152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restart"/>
          </w:tcPr>
          <w:p>
            <w:pPr>
              <w:ind w:left="100"/>
              <w:spacing w:after="0" w:line="145"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3"/>
            <w:vMerge w:val="restart"/>
          </w:tcPr>
          <w:p>
            <w:pPr>
              <w:ind w:left="10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4"/>
                <w:szCs w:val="4"/>
                <w:color w:val="auto"/>
              </w:rPr>
            </w:pPr>
          </w:p>
        </w:tc>
        <w:tc>
          <w:tcPr>
            <w:tcW w:w="920" w:type="dxa"/>
            <w:vAlign w:val="bottom"/>
            <w:gridSpan w:val="6"/>
            <w:vMerge w:val="restart"/>
          </w:tcPr>
          <w:p>
            <w:pPr>
              <w:jc w:val="right"/>
              <w:ind w:right="300"/>
              <w:spacing w:after="0"/>
              <w:rPr>
                <w:sz w:val="20"/>
                <w:szCs w:val="20"/>
                <w:color w:val="auto"/>
              </w:rPr>
            </w:pPr>
            <w:r>
              <w:rPr>
                <w:rFonts w:ascii="Arial" w:cs="Arial" w:eastAsia="Arial" w:hAnsi="Arial"/>
                <w:sz w:val="15"/>
                <w:szCs w:val="15"/>
                <w:b w:val="1"/>
                <w:bCs w:val="1"/>
                <w:color w:val="auto"/>
              </w:rPr>
              <w:t>Amount</w:t>
            </w:r>
          </w:p>
        </w:tc>
        <w:tc>
          <w:tcPr>
            <w:tcW w:w="620" w:type="dxa"/>
            <w:vAlign w:val="bottom"/>
            <w:gridSpan w:val="2"/>
            <w:vMerge w:val="restart"/>
          </w:tcPr>
          <w:p>
            <w:pPr>
              <w:jc w:val="right"/>
              <w:ind w:right="63"/>
              <w:spacing w:after="0"/>
              <w:rPr>
                <w:sz w:val="20"/>
                <w:szCs w:val="20"/>
                <w:color w:val="auto"/>
              </w:rPr>
            </w:pPr>
            <w:r>
              <w:rPr>
                <w:rFonts w:ascii="Arial" w:cs="Arial" w:eastAsia="Arial" w:hAnsi="Arial"/>
                <w:sz w:val="15"/>
                <w:szCs w:val="15"/>
                <w:b w:val="1"/>
                <w:bCs w:val="1"/>
                <w:color w:val="auto"/>
                <w:w w:val="91"/>
              </w:rPr>
              <w:t>Shares</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88"/>
              </w:rPr>
              <w:t>Amount</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1580" w:type="dxa"/>
            <w:vAlign w:val="bottom"/>
            <w:gridSpan w:val="5"/>
            <w:vMerge w:val="restart"/>
          </w:tcPr>
          <w:p>
            <w:pPr>
              <w:ind w:left="40"/>
              <w:spacing w:after="0" w:line="168" w:lineRule="exact"/>
              <w:rPr>
                <w:sz w:val="20"/>
                <w:szCs w:val="20"/>
                <w:color w:val="auto"/>
              </w:rPr>
            </w:pPr>
            <w:r>
              <w:rPr>
                <w:rFonts w:ascii="Arial" w:cs="Arial" w:eastAsia="Arial" w:hAnsi="Arial"/>
                <w:sz w:val="15"/>
                <w:szCs w:val="15"/>
                <w:b w:val="1"/>
                <w:bCs w:val="1"/>
                <w:color w:val="auto"/>
              </w:rPr>
              <w:t>Comprehensive Loss</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6"/>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vMerge w:val="restart"/>
          </w:tcPr>
          <w:p>
            <w:pPr>
              <w:jc w:val="right"/>
              <w:ind w:right="340"/>
              <w:spacing w:after="0"/>
              <w:rPr>
                <w:sz w:val="20"/>
                <w:szCs w:val="20"/>
                <w:color w:val="auto"/>
              </w:rPr>
            </w:pPr>
            <w:r>
              <w:rPr>
                <w:rFonts w:ascii="Arial" w:cs="Arial" w:eastAsia="Arial" w:hAnsi="Arial"/>
                <w:sz w:val="15"/>
                <w:szCs w:val="15"/>
                <w:b w:val="1"/>
                <w:bCs w:val="1"/>
                <w:color w:val="auto"/>
              </w:rPr>
              <w:t>Capital</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6"/>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spacing w:after="0" w:line="156" w:lineRule="exact"/>
              <w:rPr>
                <w:sz w:val="20"/>
                <w:szCs w:val="20"/>
                <w:color w:val="auto"/>
              </w:rPr>
            </w:pPr>
            <w:r>
              <w:rPr>
                <w:rFonts w:ascii="Arial" w:cs="Arial" w:eastAsia="Arial" w:hAnsi="Arial"/>
                <w:sz w:val="15"/>
                <w:szCs w:val="15"/>
                <w:color w:val="auto"/>
              </w:rPr>
              <w:t>Balance at August 31,</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93"/>
              </w:rPr>
              <w:t>81,973,284</w:t>
            </w:r>
          </w:p>
        </w:tc>
        <w:tc>
          <w:tcPr>
            <w:tcW w:w="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820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98,234</w:t>
            </w:r>
          </w:p>
        </w:tc>
        <w:tc>
          <w:tcPr>
            <w:tcW w:w="10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(2,145)</w:t>
            </w:r>
          </w:p>
        </w:tc>
        <w:tc>
          <w:tcPr>
            <w:tcW w:w="10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5"/>
                <w:szCs w:val="15"/>
                <w:color w:val="auto"/>
              </w:rPr>
              <w:t>733,775</w:t>
            </w:r>
          </w:p>
        </w:tc>
        <w:tc>
          <w:tcPr>
            <w:tcW w:w="10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15"/>
                <w:szCs w:val="15"/>
                <w:color w:val="auto"/>
              </w:rPr>
              <w:t>105,830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41"/>
              <w:spacing w:after="0"/>
              <w:rPr>
                <w:sz w:val="20"/>
                <w:szCs w:val="20"/>
                <w:color w:val="auto"/>
              </w:rPr>
            </w:pPr>
            <w:r>
              <w:rPr>
                <w:rFonts w:ascii="Arial" w:cs="Arial" w:eastAsia="Arial" w:hAnsi="Arial"/>
                <w:sz w:val="15"/>
                <w:szCs w:val="15"/>
                <w:color w:val="auto"/>
                <w:w w:val="95"/>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(836)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837,444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2019</w:t>
            </w: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gridSpan w:val="3"/>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gridSpan w:val="2"/>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840" w:type="dxa"/>
            <w:vAlign w:val="bottom"/>
            <w:gridSpan w:val="2"/>
          </w:tcPr>
          <w:p>
            <w:pPr>
              <w:ind w:left="140"/>
              <w:spacing w:after="0"/>
              <w:rPr>
                <w:sz w:val="20"/>
                <w:szCs w:val="20"/>
                <w:color w:val="auto"/>
              </w:rPr>
            </w:pPr>
            <w:r>
              <w:rPr>
                <w:rFonts w:ascii="Arial" w:cs="Arial" w:eastAsia="Arial" w:hAnsi="Arial"/>
                <w:sz w:val="15"/>
                <w:szCs w:val="15"/>
                <w:color w:val="auto"/>
              </w:rPr>
              <w:t>Net loss</w:t>
            </w:r>
          </w:p>
        </w:tc>
        <w:tc>
          <w:tcPr>
            <w:tcW w:w="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(4,793)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Stock-based</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compensation</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1,673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40" w:type="dxa"/>
            <w:vAlign w:val="bottom"/>
            <w:gridSpan w:val="2"/>
          </w:tcPr>
          <w:p>
            <w:pPr>
              <w:ind w:left="140"/>
              <w:spacing w:after="0"/>
              <w:rPr>
                <w:sz w:val="20"/>
                <w:szCs w:val="20"/>
                <w:color w:val="auto"/>
              </w:rPr>
            </w:pPr>
            <w:r>
              <w:rPr>
                <w:rFonts w:ascii="Arial" w:cs="Arial" w:eastAsia="Arial" w:hAnsi="Arial"/>
                <w:sz w:val="15"/>
                <w:szCs w:val="15"/>
                <w:color w:val="auto"/>
              </w:rPr>
              <w:t>Foreign currency</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gridSpan w:val="2"/>
          </w:tcPr>
          <w:p>
            <w:pPr>
              <w:ind w:left="140"/>
              <w:spacing w:after="0"/>
              <w:rPr>
                <w:sz w:val="20"/>
                <w:szCs w:val="20"/>
                <w:color w:val="auto"/>
              </w:rPr>
            </w:pPr>
            <w:r>
              <w:rPr>
                <w:rFonts w:ascii="Arial" w:cs="Arial" w:eastAsia="Arial" w:hAnsi="Arial"/>
                <w:sz w:val="15"/>
                <w:szCs w:val="15"/>
                <w:color w:val="auto"/>
              </w:rPr>
              <w:t>translation adjustments</w:t>
            </w: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Public equity offering</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3"/>
              </w:rPr>
              <w:t>13,379,205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134</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349,085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349,219</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40" w:type="dxa"/>
            <w:vAlign w:val="bottom"/>
            <w:gridSpan w:val="2"/>
          </w:tcPr>
          <w:p>
            <w:pPr>
              <w:ind w:left="140"/>
              <w:spacing w:after="0"/>
              <w:rPr>
                <w:sz w:val="20"/>
                <w:szCs w:val="20"/>
                <w:color w:val="auto"/>
              </w:rPr>
            </w:pPr>
            <w:r>
              <w:rPr>
                <w:rFonts w:ascii="Arial" w:cs="Arial" w:eastAsia="Arial" w:hAnsi="Arial"/>
                <w:sz w:val="15"/>
                <w:szCs w:val="15"/>
                <w:color w:val="auto"/>
              </w:rPr>
              <w:t>Shares issued upon</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vesting of Restricted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gridSpan w:val="2"/>
          </w:tcPr>
          <w:p>
            <w:pPr>
              <w:ind w:left="140"/>
              <w:spacing w:after="0"/>
              <w:rPr>
                <w:sz w:val="20"/>
                <w:szCs w:val="20"/>
                <w:color w:val="auto"/>
              </w:rPr>
            </w:pPr>
            <w:r>
              <w:rPr>
                <w:rFonts w:ascii="Arial" w:cs="Arial" w:eastAsia="Arial" w:hAnsi="Arial"/>
                <w:sz w:val="15"/>
                <w:szCs w:val="15"/>
                <w:color w:val="auto"/>
              </w:rPr>
              <w:t>Stock Units</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46,911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Exercise of options to</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rPr>
              <w:t>purchase common</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17,372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208</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40" w:type="dxa"/>
            <w:vAlign w:val="bottom"/>
            <w:gridSpan w:val="2"/>
          </w:tcPr>
          <w:p>
            <w:pPr>
              <w:spacing w:after="0" w:line="160" w:lineRule="exact"/>
              <w:rPr>
                <w:sz w:val="20"/>
                <w:szCs w:val="20"/>
                <w:color w:val="auto"/>
              </w:rPr>
            </w:pPr>
            <w:r>
              <w:rPr>
                <w:rFonts w:ascii="Arial" w:cs="Arial" w:eastAsia="Arial" w:hAnsi="Arial"/>
                <w:sz w:val="15"/>
                <w:szCs w:val="15"/>
                <w:color w:val="auto"/>
              </w:rPr>
              <w:t>Balance at November 30,</w:t>
            </w: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w w:val="93"/>
              </w:rPr>
              <w:t>95,416,772</w:t>
            </w:r>
          </w:p>
        </w:tc>
        <w:tc>
          <w:tcPr>
            <w:tcW w:w="20" w:type="dxa"/>
            <w:vAlign w:val="bottom"/>
          </w:tcPr>
          <w:p>
            <w:pPr>
              <w:spacing w:after="0"/>
              <w:rPr>
                <w:sz w:val="13"/>
                <w:szCs w:val="13"/>
                <w:color w:val="auto"/>
              </w:rPr>
            </w:pPr>
          </w:p>
        </w:tc>
        <w:tc>
          <w:tcPr>
            <w:tcW w:w="10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5"/>
                <w:szCs w:val="15"/>
                <w:color w:val="auto"/>
                <w:w w:val="95"/>
              </w:rPr>
              <w:t>954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5"/>
                <w:szCs w:val="15"/>
                <w:color w:val="auto"/>
              </w:rPr>
              <w:t>98,234</w:t>
            </w:r>
          </w:p>
        </w:tc>
        <w:tc>
          <w:tcPr>
            <w:tcW w:w="10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gridSpan w:val="3"/>
            <w:vMerge w:val="restart"/>
          </w:tcPr>
          <w:p>
            <w:pPr>
              <w:jc w:val="right"/>
              <w:spacing w:after="0"/>
              <w:rPr>
                <w:sz w:val="20"/>
                <w:szCs w:val="20"/>
                <w:color w:val="auto"/>
              </w:rPr>
            </w:pPr>
            <w:r>
              <w:rPr>
                <w:rFonts w:ascii="Arial" w:cs="Arial" w:eastAsia="Arial" w:hAnsi="Arial"/>
                <w:sz w:val="15"/>
                <w:szCs w:val="15"/>
                <w:color w:val="auto"/>
              </w:rPr>
              <w:t>(2,145)</w:t>
            </w:r>
          </w:p>
        </w:tc>
        <w:tc>
          <w:tcPr>
            <w:tcW w:w="100" w:type="dxa"/>
            <w:vAlign w:val="bottom"/>
          </w:tcPr>
          <w:p>
            <w:pPr>
              <w:spacing w:after="0"/>
              <w:rPr>
                <w:sz w:val="13"/>
                <w:szCs w:val="13"/>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5"/>
                <w:szCs w:val="15"/>
                <w:color w:val="auto"/>
                <w:w w:val="89"/>
              </w:rPr>
              <w:t>1,084,671</w:t>
            </w:r>
          </w:p>
        </w:tc>
        <w:tc>
          <w:tcPr>
            <w:tcW w:w="100" w:type="dxa"/>
            <w:vAlign w:val="bottom"/>
          </w:tcPr>
          <w:p>
            <w:pPr>
              <w:spacing w:after="0"/>
              <w:rPr>
                <w:sz w:val="13"/>
                <w:szCs w:val="13"/>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3"/>
                <w:szCs w:val="13"/>
                <w:color w:val="auto"/>
              </w:rPr>
            </w:pPr>
          </w:p>
        </w:tc>
        <w:tc>
          <w:tcPr>
            <w:tcW w:w="1100" w:type="dxa"/>
            <w:vAlign w:val="bottom"/>
            <w:vMerge w:val="restart"/>
          </w:tcPr>
          <w:p>
            <w:pPr>
              <w:jc w:val="right"/>
              <w:ind w:right="1"/>
              <w:spacing w:after="0"/>
              <w:rPr>
                <w:sz w:val="20"/>
                <w:szCs w:val="20"/>
                <w:color w:val="auto"/>
              </w:rPr>
            </w:pPr>
            <w:r>
              <w:rPr>
                <w:rFonts w:ascii="Arial" w:cs="Arial" w:eastAsia="Arial" w:hAnsi="Arial"/>
                <w:sz w:val="15"/>
                <w:szCs w:val="15"/>
                <w:color w:val="auto"/>
              </w:rPr>
              <w:t>101,037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vMerge w:val="restart"/>
          </w:tcPr>
          <w:p>
            <w:pPr>
              <w:jc w:val="right"/>
              <w:ind w:right="41"/>
              <w:spacing w:after="0"/>
              <w:rPr>
                <w:sz w:val="20"/>
                <w:szCs w:val="20"/>
                <w:color w:val="auto"/>
              </w:rPr>
            </w:pPr>
            <w:r>
              <w:rPr>
                <w:rFonts w:ascii="Arial" w:cs="Arial" w:eastAsia="Arial" w:hAnsi="Arial"/>
                <w:sz w:val="15"/>
                <w:szCs w:val="15"/>
                <w:color w:val="auto"/>
                <w:w w:val="95"/>
              </w:rPr>
              <w:t>$</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(836)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gridSpan w:val="2"/>
            <w:vMerge w:val="restart"/>
          </w:tcPr>
          <w:p>
            <w:pPr>
              <w:jc w:val="right"/>
              <w:ind w:right="19"/>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w w:val="95"/>
              </w:rPr>
              <w:t>1,183,681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760" w:type="dxa"/>
            <w:vAlign w:val="bottom"/>
            <w:gridSpan w:val="2"/>
          </w:tcPr>
          <w:p>
            <w:pPr>
              <w:ind w:left="20"/>
              <w:spacing w:after="0"/>
              <w:rPr>
                <w:sz w:val="20"/>
                <w:szCs w:val="20"/>
                <w:color w:val="auto"/>
              </w:rPr>
            </w:pPr>
            <w:r>
              <w:rPr>
                <w:rFonts w:ascii="Arial" w:cs="Arial" w:eastAsia="Arial" w:hAnsi="Arial"/>
                <w:sz w:val="15"/>
                <w:szCs w:val="15"/>
                <w:color w:val="auto"/>
              </w:rPr>
              <w:t>2019</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gridSpan w:val="2"/>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gridSpan w:val="2"/>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9"/>
          </w:tcPr>
          <w:p>
            <w:pPr>
              <w:jc w:val="right"/>
              <w:ind w:right="320"/>
              <w:spacing w:after="0"/>
              <w:rPr>
                <w:sz w:val="20"/>
                <w:szCs w:val="20"/>
                <w:color w:val="auto"/>
              </w:rPr>
            </w:pPr>
            <w:r>
              <w:rPr>
                <w:rFonts w:ascii="Arial" w:cs="Arial" w:eastAsia="Arial" w:hAnsi="Arial"/>
                <w:sz w:val="15"/>
                <w:szCs w:val="15"/>
                <w:b w:val="1"/>
                <w:bCs w:val="1"/>
                <w:color w:val="auto"/>
              </w:rPr>
              <w:t>Common Stock</w:t>
            </w:r>
          </w:p>
        </w:tc>
        <w:tc>
          <w:tcPr>
            <w:tcW w:w="120" w:type="dxa"/>
            <w:vAlign w:val="bottom"/>
          </w:tcPr>
          <w:p>
            <w:pPr>
              <w:spacing w:after="0"/>
              <w:rPr>
                <w:sz w:val="24"/>
                <w:szCs w:val="24"/>
                <w:color w:val="auto"/>
              </w:rPr>
            </w:pPr>
          </w:p>
        </w:tc>
        <w:tc>
          <w:tcPr>
            <w:tcW w:w="1300" w:type="dxa"/>
            <w:vAlign w:val="bottom"/>
            <w:gridSpan w:val="5"/>
          </w:tcPr>
          <w:p>
            <w:pPr>
              <w:jc w:val="right"/>
              <w:spacing w:after="0"/>
              <w:rPr>
                <w:sz w:val="20"/>
                <w:szCs w:val="20"/>
                <w:color w:val="auto"/>
              </w:rPr>
            </w:pPr>
            <w:r>
              <w:rPr>
                <w:rFonts w:ascii="Arial" w:cs="Arial" w:eastAsia="Arial" w:hAnsi="Arial"/>
                <w:sz w:val="15"/>
                <w:szCs w:val="15"/>
                <w:b w:val="1"/>
                <w:bCs w:val="1"/>
                <w:color w:val="auto"/>
              </w:rPr>
              <w:t>Treasury Stock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w w:val="92"/>
              </w:rPr>
              <w:t>Additional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jc w:val="center"/>
              <w:ind w:right="60"/>
              <w:spacing w:after="0"/>
              <w:rPr>
                <w:sz w:val="20"/>
                <w:szCs w:val="20"/>
                <w:color w:val="auto"/>
              </w:rPr>
            </w:pPr>
            <w:r>
              <w:rPr>
                <w:rFonts w:ascii="Arial" w:cs="Arial" w:eastAsia="Arial" w:hAnsi="Arial"/>
                <w:sz w:val="15"/>
                <w:szCs w:val="15"/>
                <w:b w:val="1"/>
                <w:bCs w:val="1"/>
                <w:color w:val="auto"/>
                <w:w w:val="92"/>
              </w:rPr>
              <w:t>Retained Earnings</w:t>
            </w:r>
          </w:p>
        </w:tc>
        <w:tc>
          <w:tcPr>
            <w:tcW w:w="60" w:type="dxa"/>
            <w:vAlign w:val="bottom"/>
          </w:tcPr>
          <w:p>
            <w:pPr>
              <w:spacing w:after="0"/>
              <w:rPr>
                <w:sz w:val="24"/>
                <w:szCs w:val="24"/>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5"/>
                <w:szCs w:val="15"/>
                <w:b w:val="1"/>
                <w:bCs w:val="1"/>
                <w:color w:val="auto"/>
                <w:w w:val="93"/>
              </w:rPr>
              <w:t>Accumulated Other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right"/>
              <w:ind w:right="200"/>
              <w:spacing w:after="0" w:line="145" w:lineRule="exact"/>
              <w:rPr>
                <w:sz w:val="20"/>
                <w:szCs w:val="20"/>
                <w:color w:val="auto"/>
              </w:rPr>
            </w:pPr>
            <w:r>
              <w:rPr>
                <w:rFonts w:ascii="Arial" w:cs="Arial" w:eastAsia="Arial" w:hAnsi="Arial"/>
                <w:sz w:val="15"/>
                <w:szCs w:val="15"/>
                <w:b w:val="1"/>
                <w:bCs w:val="1"/>
                <w:color w:val="auto"/>
              </w:rPr>
              <w:t>Paid-In</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3"/>
            <w:vMerge w:val="restart"/>
          </w:tcPr>
          <w:p>
            <w:pPr>
              <w:jc w:val="center"/>
              <w:ind w:right="180"/>
              <w:spacing w:after="0" w:line="145" w:lineRule="exact"/>
              <w:rPr>
                <w:sz w:val="20"/>
                <w:szCs w:val="20"/>
                <w:color w:val="auto"/>
              </w:rPr>
            </w:pPr>
            <w:r>
              <w:rPr>
                <w:rFonts w:ascii="Arial" w:cs="Arial" w:eastAsia="Arial" w:hAnsi="Arial"/>
                <w:sz w:val="15"/>
                <w:szCs w:val="15"/>
                <w:b w:val="1"/>
                <w:bCs w:val="1"/>
                <w:color w:val="auto"/>
                <w:w w:val="92"/>
              </w:rPr>
              <w:t>(Accumulated</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gridSpan w:val="3"/>
            <w:vMerge w:val="restart"/>
          </w:tcPr>
          <w:p>
            <w:pPr>
              <w:jc w:val="center"/>
              <w:ind w:right="260"/>
              <w:spacing w:after="0" w:line="145" w:lineRule="exact"/>
              <w:rPr>
                <w:sz w:val="20"/>
                <w:szCs w:val="20"/>
                <w:color w:val="auto"/>
              </w:rPr>
            </w:pPr>
            <w:r>
              <w:rPr>
                <w:rFonts w:ascii="Arial" w:cs="Arial" w:eastAsia="Arial" w:hAnsi="Arial"/>
                <w:sz w:val="15"/>
                <w:szCs w:val="15"/>
                <w:b w:val="1"/>
                <w:bCs w:val="1"/>
                <w:color w:val="auto"/>
                <w:w w:val="90"/>
              </w:rPr>
              <w:t>Comprehensive</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vMerge w:val="restart"/>
          </w:tcPr>
          <w:p>
            <w:pPr>
              <w:ind w:left="100"/>
              <w:spacing w:after="0" w:line="145"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w w:val="83"/>
              </w:rPr>
              <w:t>Shares</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4"/>
            <w:vMerge w:val="restart"/>
          </w:tcPr>
          <w:p>
            <w:pPr>
              <w:jc w:val="right"/>
              <w:ind w:right="80"/>
              <w:spacing w:after="0"/>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3"/>
                <w:szCs w:val="3"/>
                <w:color w:val="auto"/>
              </w:rPr>
            </w:pPr>
          </w:p>
        </w:tc>
        <w:tc>
          <w:tcPr>
            <w:tcW w:w="720" w:type="dxa"/>
            <w:vAlign w:val="bottom"/>
            <w:gridSpan w:val="3"/>
            <w:vMerge w:val="restart"/>
          </w:tcPr>
          <w:p>
            <w:pPr>
              <w:jc w:val="right"/>
              <w:ind w:right="63"/>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3"/>
                <w:szCs w:val="3"/>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Amount</w:t>
            </w: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Capital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4"/>
              </w:rPr>
              <w:t>Deficit)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0"/>
              </w:rPr>
              <w:t>Income (Loss)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840" w:type="dxa"/>
            <w:vAlign w:val="bottom"/>
            <w:tcBorders>
              <w:bottom w:val="single" w:sz="8" w:color="CCEEFF"/>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w w:val="91"/>
              </w:rPr>
              <w:t>Balance at August 25, 2018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w w:val="99"/>
              </w:rPr>
              <w:t>70,605,675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614,399</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58,294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672,601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15,257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8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Stock-based</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2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1,061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color w:val="auto"/>
              </w:rPr>
              <w:t>Foreign currency</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color w:val="auto"/>
              </w:rPr>
              <w:t>translation adjustments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7"/>
                <w:szCs w:val="17"/>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8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Shares issued upon</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vesting of Restricted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Stock Units</w:t>
            </w:r>
          </w:p>
        </w:tc>
        <w:tc>
          <w:tcPr>
            <w:tcW w:w="10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67,500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color w:val="auto"/>
              </w:rPr>
              <w:t>Exercise of options to</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color w:val="auto"/>
                <w:w w:val="95"/>
              </w:rPr>
              <w:t>purchase common stock</w:t>
            </w:r>
          </w:p>
        </w:tc>
        <w:tc>
          <w:tcPr>
            <w:tcW w:w="1000" w:type="dxa"/>
            <w:vAlign w:val="bottom"/>
            <w:gridSpan w:val="5"/>
          </w:tcPr>
          <w:p>
            <w:pPr>
              <w:jc w:val="right"/>
              <w:spacing w:after="0"/>
              <w:rPr>
                <w:sz w:val="20"/>
                <w:szCs w:val="20"/>
                <w:color w:val="auto"/>
              </w:rPr>
            </w:pPr>
            <w:r>
              <w:rPr>
                <w:rFonts w:ascii="Arial" w:cs="Arial" w:eastAsia="Arial" w:hAnsi="Arial"/>
                <w:sz w:val="16"/>
                <w:szCs w:val="16"/>
                <w:color w:val="auto"/>
              </w:rPr>
              <w:t>4,444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Warrant Conversion</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w w:val="99"/>
              </w:rPr>
              <w:t>11,200,299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113,352</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113,464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840" w:type="dxa"/>
            <w:vAlign w:val="bottom"/>
            <w:gridSpan w:val="2"/>
          </w:tcPr>
          <w:p>
            <w:pPr>
              <w:ind w:left="20"/>
              <w:spacing w:after="0"/>
              <w:rPr>
                <w:sz w:val="20"/>
                <w:szCs w:val="20"/>
                <w:color w:val="auto"/>
              </w:rPr>
            </w:pPr>
            <w:r>
              <w:rPr>
                <w:rFonts w:ascii="Arial" w:cs="Arial" w:eastAsia="Arial" w:hAnsi="Arial"/>
                <w:sz w:val="16"/>
                <w:szCs w:val="16"/>
                <w:color w:val="auto"/>
                <w:w w:val="99"/>
              </w:rPr>
              <w:t>Balance at November 24,</w:t>
            </w:r>
          </w:p>
        </w:tc>
        <w:tc>
          <w:tcPr>
            <w:tcW w:w="120" w:type="dxa"/>
            <w:vAlign w:val="bottom"/>
            <w:vMerge w:val="restart"/>
          </w:tcPr>
          <w:p>
            <w:pPr>
              <w:spacing w:after="0"/>
              <w:rPr>
                <w:sz w:val="17"/>
                <w:szCs w:val="17"/>
                <w:color w:val="auto"/>
              </w:rPr>
            </w:pPr>
          </w:p>
        </w:tc>
        <w:tc>
          <w:tcPr>
            <w:tcW w:w="880" w:type="dxa"/>
            <w:vAlign w:val="bottom"/>
            <w:tcBorders>
              <w:top w:val="single" w:sz="8" w:color="auto"/>
            </w:tcBorders>
            <w:gridSpan w:val="4"/>
            <w:vMerge w:val="restart"/>
          </w:tcPr>
          <w:p>
            <w:pPr>
              <w:jc w:val="right"/>
              <w:spacing w:after="0"/>
              <w:rPr>
                <w:sz w:val="20"/>
                <w:szCs w:val="20"/>
                <w:color w:val="auto"/>
              </w:rPr>
            </w:pPr>
            <w:r>
              <w:rPr>
                <w:rFonts w:ascii="Arial" w:cs="Arial" w:eastAsia="Arial" w:hAnsi="Arial"/>
                <w:sz w:val="16"/>
                <w:szCs w:val="16"/>
                <w:color w:val="auto"/>
                <w:w w:val="99"/>
              </w:rPr>
              <w:t>81,877,918</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gridSpan w:val="3"/>
            <w:vMerge w:val="restart"/>
          </w:tcPr>
          <w:p>
            <w:pPr>
              <w:jc w:val="right"/>
              <w:ind w:right="40"/>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vMerge w:val="restart"/>
          </w:tcPr>
          <w:p>
            <w:pPr>
              <w:spacing w:after="0"/>
              <w:rPr>
                <w:sz w:val="17"/>
                <w:szCs w:val="17"/>
                <w:color w:val="auto"/>
              </w:rPr>
            </w:pPr>
          </w:p>
        </w:tc>
        <w:tc>
          <w:tcPr>
            <w:tcW w:w="4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6"/>
                <w:szCs w:val="16"/>
                <w:color w:val="auto"/>
                <w:w w:val="99"/>
              </w:rPr>
              <w:t>—</w:t>
            </w:r>
          </w:p>
        </w:tc>
        <w:tc>
          <w:tcPr>
            <w:tcW w:w="40" w:type="dxa"/>
            <w:vAlign w:val="bottom"/>
            <w:tcBorders>
              <w:top w:val="single" w:sz="8" w:color="auto"/>
            </w:tcBorders>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6"/>
                <w:szCs w:val="16"/>
                <w:color w:val="auto"/>
              </w:rPr>
              <w:t>728,864</w:t>
            </w:r>
          </w:p>
        </w:tc>
        <w:tc>
          <w:tcPr>
            <w:tcW w:w="20" w:type="dxa"/>
            <w:vAlign w:val="bottom"/>
            <w:tcBorders>
              <w:top w:val="single" w:sz="8" w:color="auto"/>
            </w:tcBorders>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6"/>
                <w:szCs w:val="16"/>
                <w:color w:val="auto"/>
              </w:rPr>
              <w:t>73,551</w:t>
            </w:r>
          </w:p>
        </w:tc>
        <w:tc>
          <w:tcPr>
            <w:tcW w:w="4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(656)</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802,578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60" w:type="dxa"/>
            <w:vAlign w:val="bottom"/>
            <w:gridSpan w:val="2"/>
          </w:tcPr>
          <w:p>
            <w:pPr>
              <w:ind w:left="4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5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12700</wp:posOffset>
            </wp:positionV>
            <wp:extent cx="52997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99710" cy="26035"/>
                    </a:xfrm>
                    <a:prstGeom prst="rect">
                      <a:avLst/>
                    </a:prstGeom>
                    <a:noFill/>
                  </pic:spPr>
                </pic:pic>
              </a:graphicData>
            </a:graphic>
          </wp:anchor>
        </w:drawing>
      </w:r>
    </w:p>
    <w:p>
      <w:pPr>
        <w:spacing w:after="0" w:line="30" w:lineRule="exact"/>
        <w:rPr>
          <w:sz w:val="20"/>
          <w:szCs w:val="20"/>
          <w:color w:val="auto"/>
        </w:rPr>
      </w:pPr>
    </w:p>
    <w:p>
      <w:pPr>
        <w:ind w:left="288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240" w:top="125" w:right="7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i w:val="1"/>
          <w:iCs w:val="1"/>
          <w:color w:val="auto"/>
        </w:rPr>
        <w:t>(Unaudited, dollars 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Principles of Consolidation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Simply Good Foods Company (“Simply Good Foods”) was formed by Conyers Park Acquisition Corp. (“Conyers Park”) on March 30, 2017. On April 10, 2017, Conyers Park and NCP-ATK Holdings, Inc., among others, entered into a definitive merger agreement (the “Merger Agreement”), pursuant to which on July 7, 2017, Conyers Park merged into Simply Good Foods and as a result acquired the companies which conducted the Atkins® brand business (the “Acquisition of Atkins”). The common stock of Simply Good Foods is listed on the Nasdaq Capital Market under the symbol “SMPL.”</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21, 2019, our wholly owned subsidiary Atkins Nutritionals, Inc. (“Atkins”) entered into a Stock and Unit Purchase Agreement (the "Purchase Agreement") to acquire Quest Nutrition, LLC ("Quest"), a healthy lifestyle food company (the "Acquisition of Quest"). On November 7, 2019, pursuant to the Purchase Agreement, Atkins completed the Acquisition of Quest, via Atkins’ direct or indirect acquisition of 100% of the equity interests of Voyage Holdings, LLC (“Voyage Holdings”), and VMG Quest Blocker, Inc. (“Voyage Blocker” and, together with Voyage Holdings, the “Target Companies”) for a cash purchase price of approximately $1.0 billion (subject to customary adjustments for the Target Companies’ levels of cash, indebtedness, net working capital and transaction expenses as of the closing date).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maintains its accounting records on a 52/53-week fiscal year, ending on the last Saturday in August of each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Simply Good Foods Company is a consumer packaged food and beverage company that aims to lead the nutritious snacking movement with trusted brands that offer a variety of convenient, innovative, great-tasting, better-for-you snacks and meal replacements. The Company’s nutritious snacking platform consists of brands that specialize in providing products for consumers that follow certain nutritional philosophies, dietary approaches and/or health-and-wellness trends: Atkins® for those following a low-carb lifestyle; Quest® for consumers seeking to partner with a brand that makes the foods they crave work for them, not against them, through a variety of protein-rich foods and beverages that also limit sugars and simple carbs; and SimplyProtein® for consumers looking for protein-enhanced snacks made with fewer, simple ingredients.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 Our platform also positions us to continue to selectively pursue acquisition opportunities of brands in the nutritious snacking and broader health-and-wellness food space.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of Prior Year Amounts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prior year amounts have been reclassified to conform to the current year presentation including (i) Selling and Marketing expenses, which have been combined as Selling and marketing on the Consolidated Statements of Operations and Comprehensive (Loss) Income and (ii) other operating expense, which has been combined with General and administrative expense on the Consolidated Statements of Operations and Comprehensive (Loss)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interim condensed consolidated financial statements and related notes of the Company and its subsidiaries are unaudited. The unaudited interim condensed consolidated financial statements have been prepared in accordance with U.S. Generally Accepted Accounting Principles (“GAAP”) and the rules and regulations of the Securities and Exchange Commission (the “SEC”). The unaudited interim condensed consolidated financial statements reflect all adjustments and disclosures which are, in our opinion, necessary for a fair presentation of the results of operations, financial position and cash flows for the indicated periods. All such adjustments were of a normal and recurring nature unless otherwise disclosed. The results reported in these unaudited interim condensed consolidated financial statements are not necessarily indicative of the results that may be reported for the entire fiscal year and should be read in conjunction with our consolidated financial statements for the fiscal year ended August 31, 2019, included in our Annual Report on Form 10-K (“Annual Report”), filed with the SEC on October 30, 2019. The year-end balance sheet data was derived from the audited financial statements and, in accordance with the instructions to Form 10-Q, certain information and footnote disclosures required by GAAP have been condensed or omitted.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included in our Annual Report for a description of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fourth quarter ended August 31, 2019, the Company changed its accounting principle related to the presentation of third party delivery costs associated with shipping and handling activities previously included as operating expenses in Distribution in the Consolidated Statements of Operations and Comprehensive (Loss) Income. The Company is now presenting these expenses within cost of goods sold in the Consolidated Statements of Operations and Comprehensive (Loss) Income. In connection with the change in accounting principle, the Company also changed its definition of shipping and handling costs to include costs paid to third-party warehouse operators associated with delivering product to a customer, previously included in General and administrative, and Depreciation and amortization of the assets at the third-party warehouse, previously included in Depreciation and amortization. Under the previous definition of shipping and handling costs, the Company only included delivery costs in Distribution. The effect of the adjustment is as follows:</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Change in Accounting</w:t>
            </w:r>
          </w:p>
        </w:tc>
        <w:tc>
          <w:tcPr>
            <w:tcW w:w="1500" w:type="dxa"/>
            <w:vAlign w:val="bottom"/>
          </w:tcPr>
          <w:p>
            <w:pPr>
              <w:spacing w:after="0"/>
              <w:rPr>
                <w:sz w:val="17"/>
                <w:szCs w:val="17"/>
                <w:color w:val="auto"/>
              </w:rPr>
            </w:pPr>
          </w:p>
        </w:tc>
      </w:tr>
      <w:tr>
        <w:trPr>
          <w:trHeight w:val="206"/>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Thirteen Weeks Ended November 24, 2018</w:t>
            </w:r>
          </w:p>
        </w:tc>
        <w:tc>
          <w:tcPr>
            <w:tcW w:w="1820" w:type="dxa"/>
            <w:vAlign w:val="bottom"/>
            <w:gridSpan w:val="2"/>
          </w:tcPr>
          <w:p>
            <w:pPr>
              <w:ind w:left="440"/>
              <w:spacing w:after="0"/>
              <w:rPr>
                <w:sz w:val="20"/>
                <w:szCs w:val="20"/>
                <w:color w:val="auto"/>
              </w:rPr>
            </w:pPr>
            <w:r>
              <w:rPr>
                <w:rFonts w:ascii="Arial" w:cs="Arial" w:eastAsia="Arial" w:hAnsi="Arial"/>
                <w:sz w:val="16"/>
                <w:szCs w:val="16"/>
                <w:color w:val="auto"/>
              </w:rPr>
              <w:t>As Reported</w:t>
            </w:r>
          </w:p>
        </w:tc>
        <w:tc>
          <w:tcPr>
            <w:tcW w:w="196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Principle and Presentation</w:t>
            </w: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As Adjusted</w:t>
            </w:r>
          </w:p>
        </w:tc>
      </w:tr>
      <w:tr>
        <w:trPr>
          <w:trHeight w:val="33"/>
        </w:trPr>
        <w:tc>
          <w:tcPr>
            <w:tcW w:w="4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61,820</w:t>
            </w: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7,191</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69,011</w:t>
            </w:r>
          </w:p>
        </w:tc>
      </w:tr>
      <w:tr>
        <w:trPr>
          <w:trHeight w:val="237"/>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Distribution</w:t>
            </w:r>
          </w:p>
        </w:tc>
        <w:tc>
          <w:tcPr>
            <w:tcW w:w="1700" w:type="dxa"/>
            <w:vAlign w:val="bottom"/>
          </w:tcPr>
          <w:p>
            <w:pPr>
              <w:jc w:val="right"/>
              <w:spacing w:after="0"/>
              <w:rPr>
                <w:sz w:val="20"/>
                <w:szCs w:val="20"/>
                <w:color w:val="auto"/>
              </w:rPr>
            </w:pPr>
            <w:r>
              <w:rPr>
                <w:rFonts w:ascii="Arial" w:cs="Arial" w:eastAsia="Arial" w:hAnsi="Arial"/>
                <w:sz w:val="16"/>
                <w:szCs w:val="16"/>
                <w:color w:val="auto"/>
              </w:rPr>
              <w:t>5,284</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(5,284)</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13,868</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11,998</w:t>
            </w:r>
          </w:p>
        </w:tc>
      </w:tr>
      <w:tr>
        <w:trPr>
          <w:trHeight w:val="237"/>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700" w:type="dxa"/>
            <w:vAlign w:val="bottom"/>
          </w:tcPr>
          <w:p>
            <w:pPr>
              <w:jc w:val="right"/>
              <w:spacing w:after="0"/>
              <w:rPr>
                <w:sz w:val="20"/>
                <w:szCs w:val="20"/>
                <w:color w:val="auto"/>
              </w:rPr>
            </w:pPr>
            <w:r>
              <w:rPr>
                <w:rFonts w:ascii="Arial" w:cs="Arial" w:eastAsia="Arial" w:hAnsi="Arial"/>
                <w:sz w:val="16"/>
                <w:szCs w:val="16"/>
                <w:color w:val="auto"/>
              </w:rPr>
              <w:t>1,886</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1,849</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2016, The Financial Accounting Standards Board (the “FASB”) issued Accounting Standards Update (“ASU”) No. 2016-13, Financial Instruments—Credit Losses (Topic 326), which modifies disclosure requirements for fair value measurements by removing, modifying or adding certain disclosures. This ASU is effective for annual periods beginning after December 15, 2019, with early adoption permitted. The amendments of this ASU should be applied on a retrospective basis to all periods presented. The Company is currently evaluating the effects adoption of this guidance will have on the consolidated financial statements.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2018, the FASB issued ASU No. 2018-13, Fair Value Measurement (Topic 820), which modifies disclosure requirements on fair value measurements of Accounting Standards Codification (“ASC”) 820. This ASU is effective for all entities for fiscal years beginning after December 15, 2019, including interim periods therein. Early adoption is permitted including in any interim period for which financial statements have not yet been issued. Entities are permitted to early adopt the eliminated or modified disclosure requirements and delay the adoption new disclosure requirements until their effective date. The Company is currently evaluating the effects adoption of this guidance will have on the consolidated financial statements and does not anticipate adoption of this ASU will be material to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February 2016, the FASB issued ASU No. 2016-02, Leases (Topic 842). The standard requires lessees to recognize the assets and liabilities that arise from leases on the balance sheet. A lessee should recognize in the statement of financial position a liability to make lease payments (the lease liability) and a right-of-use asset representing its right to use the underlying asset for the lease term. In July 2018, the FASB issued ASU 2018-11, Leases (Topic 842): Targeted Improvements. ASU 2018-11 provides entities another option for transition, allowing entities to not apply the new standard in the comparative periods they present in their financial statements in the year of adoption. The amendments provide the option for the ASU to be applied at the beginning of the period adopted using a modified retrospective approach with earlier application permitted as of the beginning of an interim or annual reporting period.</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On September 1, 2019, we adopted ASU No. 2016-02, Leases (“Topic 842”) using the alternative transition method under ASU No. 2018-11, which permits application of the new guidance at the beginning of the period of adoption, with comparative periods continuing to be reporting under Topic 840. Upon adoption of the new standard as of the first day of fiscal 2020, the Company recorded the following within the Condensed Consolidated Balance Sheet: operating lease right of use assets of $5.1 million included within </w:t>
      </w:r>
      <w:r>
        <w:rPr>
          <w:rFonts w:ascii="Arial" w:cs="Arial" w:eastAsia="Arial" w:hAnsi="Arial"/>
          <w:sz w:val="18"/>
          <w:szCs w:val="18"/>
          <w:i w:val="1"/>
          <w:iCs w:val="1"/>
          <w:color w:val="auto"/>
        </w:rPr>
        <w:t>Other long-term assets,</w:t>
      </w:r>
      <w:r>
        <w:rPr>
          <w:rFonts w:ascii="Arial" w:cs="Arial" w:eastAsia="Arial" w:hAnsi="Arial"/>
          <w:sz w:val="18"/>
          <w:szCs w:val="18"/>
          <w:color w:val="auto"/>
        </w:rPr>
        <w:t xml:space="preserve"> current operating lease liabilities of $1.9 million included within </w:t>
      </w:r>
      <w:r>
        <w:rPr>
          <w:rFonts w:ascii="Arial" w:cs="Arial" w:eastAsia="Arial" w:hAnsi="Arial"/>
          <w:sz w:val="18"/>
          <w:szCs w:val="18"/>
          <w:i w:val="1"/>
          <w:iCs w:val="1"/>
          <w:color w:val="auto"/>
        </w:rPr>
        <w:t xml:space="preserve">Accrued expenses and other current liabilities, </w:t>
      </w:r>
      <w:r>
        <w:rPr>
          <w:rFonts w:ascii="Arial" w:cs="Arial" w:eastAsia="Arial" w:hAnsi="Arial"/>
          <w:sz w:val="18"/>
          <w:szCs w:val="18"/>
          <w:color w:val="auto"/>
        </w:rPr>
        <w:t>long-term operating lease liabilities of $3.9 million included within</w:t>
      </w:r>
      <w:r>
        <w:rPr>
          <w:rFonts w:ascii="Arial" w:cs="Arial" w:eastAsia="Arial" w:hAnsi="Arial"/>
          <w:sz w:val="18"/>
          <w:szCs w:val="18"/>
          <w:i w:val="1"/>
          <w:iCs w:val="1"/>
          <w:color w:val="auto"/>
        </w:rPr>
        <w:t xml:space="preserve"> Other long-term liabilities, </w:t>
      </w:r>
      <w:r>
        <w:rPr>
          <w:rFonts w:ascii="Arial" w:cs="Arial" w:eastAsia="Arial" w:hAnsi="Arial"/>
          <w:sz w:val="18"/>
          <w:szCs w:val="18"/>
          <w:color w:val="auto"/>
        </w:rPr>
        <w:t>finance lease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right of use assets of $1.2 million included within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xml:space="preserve"> current finance lease liabilities of $0.2 million included within </w:t>
      </w:r>
      <w:r>
        <w:rPr>
          <w:rFonts w:ascii="Arial" w:cs="Arial" w:eastAsia="Arial" w:hAnsi="Arial"/>
          <w:sz w:val="18"/>
          <w:szCs w:val="18"/>
          <w:i w:val="1"/>
          <w:iCs w:val="1"/>
          <w:color w:val="auto"/>
        </w:rPr>
        <w:t>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maturities of long term debt, </w:t>
      </w:r>
      <w:r>
        <w:rPr>
          <w:rFonts w:ascii="Arial" w:cs="Arial" w:eastAsia="Arial" w:hAnsi="Arial"/>
          <w:sz w:val="18"/>
          <w:szCs w:val="18"/>
          <w:color w:val="auto"/>
        </w:rPr>
        <w:t>and long-term finance lease liabilities of $1.0 million included within</w:t>
      </w:r>
      <w:r>
        <w:rPr>
          <w:rFonts w:ascii="Arial" w:cs="Arial" w:eastAsia="Arial" w:hAnsi="Arial"/>
          <w:sz w:val="18"/>
          <w:szCs w:val="18"/>
          <w:i w:val="1"/>
          <w:iCs w:val="1"/>
          <w:color w:val="auto"/>
        </w:rPr>
        <w:t xml:space="preserve"> Long-term debt less current maturities</w:t>
      </w:r>
      <w:r>
        <w:rPr>
          <w:rFonts w:ascii="Arial" w:cs="Arial" w:eastAsia="Arial" w:hAnsi="Arial"/>
          <w:sz w:val="18"/>
          <w:szCs w:val="18"/>
          <w:color w:val="auto"/>
        </w:rPr>
        <w:t>.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Quest, the Company recorded the following amounts in the Condensed Consolidated Balance Sheet as of the Transaction Date: operating lease right of use assets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of $20.8 million included within </w:t>
      </w:r>
      <w:r>
        <w:rPr>
          <w:rFonts w:ascii="Arial" w:cs="Arial" w:eastAsia="Arial" w:hAnsi="Arial"/>
          <w:sz w:val="18"/>
          <w:szCs w:val="18"/>
          <w:i w:val="1"/>
          <w:iCs w:val="1"/>
          <w:color w:val="auto"/>
        </w:rPr>
        <w:t>Other long-term assets,</w:t>
      </w:r>
      <w:r>
        <w:rPr>
          <w:rFonts w:ascii="Arial" w:cs="Arial" w:eastAsia="Arial" w:hAnsi="Arial"/>
          <w:sz w:val="18"/>
          <w:szCs w:val="18"/>
          <w:color w:val="auto"/>
        </w:rPr>
        <w:t xml:space="preserve"> current operating lease liabilities of $1.9 million included within </w:t>
      </w:r>
      <w:r>
        <w:rPr>
          <w:rFonts w:ascii="Arial" w:cs="Arial" w:eastAsia="Arial" w:hAnsi="Arial"/>
          <w:sz w:val="18"/>
          <w:szCs w:val="18"/>
          <w:i w:val="1"/>
          <w:iCs w:val="1"/>
          <w:color w:val="auto"/>
        </w:rPr>
        <w:t>Accrued expenses and other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and long-term operating lease liabilities of $18.9 million included within</w:t>
      </w:r>
      <w:r>
        <w:rPr>
          <w:rFonts w:ascii="Arial" w:cs="Arial" w:eastAsia="Arial" w:hAnsi="Arial"/>
          <w:sz w:val="18"/>
          <w:szCs w:val="18"/>
          <w:i w:val="1"/>
          <w:iCs w:val="1"/>
          <w:color w:val="auto"/>
        </w:rPr>
        <w:t xml:space="preserve"> Other long-term liabilities. </w:t>
      </w:r>
      <w:r>
        <w:rPr>
          <w:rFonts w:ascii="Arial" w:cs="Arial" w:eastAsia="Arial" w:hAnsi="Arial"/>
          <w:sz w:val="18"/>
          <w:szCs w:val="18"/>
          <w:color w:val="auto"/>
        </w:rPr>
        <w:t>The adoption of these ASUs did not result in a</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cumulative-effect adjustment to the opening balance of retained earnings.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guidance provides a number of optional practical expedients in adoption. We elected to adopt the package of practical expedients permitted under the transition guidance within the standard, which among other things, permits us to not reassess under the new standard our prior conclusions about lease identification, lease classification and initial direct costs. We did not elect the use-of-hindsight practical expedient or the practical expedient pertaining to land easements, the latter not being applicable to us. In addition, we elected an accounting policy to include both lease and non-lease components as a single component for all asset classes where we are the lessee. For additional information on our leases, see Note 9.</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2018, the FASB issued ASU No. 2018-07, Compensation – Stock Compensation (Topic 718), Improvements to Nonemployee Share-Based Payment Accounting. This ASU is intended to simplify aspects of share-based compensation issued to non-employees by making the guidance consistent with the accounting for employee share-based compensation. The Company adopted this ASU as of the first day of fiscal 2020. The adoption of this ASU did not have a material effect on the consolidated financial statements.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Company adopted this ASU as of the first day of fiscal 2020. The adoption of this ASU did not have a material effect on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August 21, 2019, Atkins entered into the Purchase Agreement with the Target Companies, VMG Voyage Holdings, LLC, VMG Tax-Exempt II, L.P., Voyage Employee Holdings, LLC, and other sellers defined in the Purchase Agreement. On November 7, 2019, pursuant to the Purchase Agreement, Atkins completed the Acquisition of Quest for a cash purchase price at closing of $988.9 million subject to customary post closing adjustments.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Atkins acquired Quest as a part of our vision to lead the nutritious snacking movement with trusted brands that offer a variety of convenient, innovative, great-tasting, better-for-you snacks and meal replacements. Quest is a healthy lifestyle food company offering a variety of bars, cookies, chips, ready-to-drink shakes and pizzas that compete in many of the attractive, fast growing sub-segments within the nutritional snacking category. Quest has a loyal following and strong appeal among consumers 18-44 years.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Acquisition of Quest was accounted for using the acquisition method of accounting in accordance with ASC 805, Business Combinations (“ASC 805”), whereby the results of operations, including the revenues and earnings of Quest, are included in the financial statements from the date of acquisition. ASC 805 requires, among other things, that assets acquired and liabilities assumed be recognized at their fair values, as determined in accordance with ASC 820, Fair Value Measurements, as of the closing date. ASC 805 establishes a measurement period to provide the Company with a reasonable amount of time to obtain the information necessary to identify and measure various items in a business combination and cannot extend beyond one year from the acquisition date.</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Acquisition of Quest was funded by the Company through a combination of cash, equity and debt financing. Total consideration paid on the closing date was $988.9 million. Cash sources of funding included $195.3 million of cash on hand, net proceeds of approximately $350.0 million from the Company's October 9, 2019 public equity offering, and $443.6 million in new term loan debt. Included within the Business transaction costs line item of the Consolidated Statements of Operations and Comprehensive (Loss) Income as of November 30, 2019 are $14.5 million of transaction advisory fees related to the Acquisition of Quest, $3.2 million of banker commitment fees, $6.1 million of non-deferrable debt issuance costs related to the incremental term loan, and $2.3 million of other costs including legal, due diligence, and accounting fees.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Included in the transaction advisory fees paid for the Acquisition of Quest is $12.0 million paid to Centerview Partners LLC, an investment banking firm that served as the lead financial advisor to the Company for this transaction. Three members of the Company’s Board of Directors, Messrs. Kilts, West, and Ratzan, have business relationships with certain partners of Centerview Partners LLC (including relating to Centerview Capital Consumer, a private equity firm and affiliate of Conyers Park Sponsor LLC), but they are not themselves partners, executives or employees of Centerview Partners LLC and Centerview Partners LLC is not a related party of the Company pursuant to applicable rules and policies. The advisory fee paid to Centerview Partners LLC represents approximately 1.2% of the total cash purchase price paid by the Company on the closing date of the Acquisition of Quest. All transaction advisory fees relating to the Acquisition of Quest were approved by the Company’s Audit Committee.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the preliminary purchase price of the Acquisition of Quest to the estimated fair value of the net assets acquired at the date of acquisition, subject to finalization per the terms of the Purchase Agreement. The preliminary purchase price allocation may be adjusted as a result of the finalization of our purchase price allocation procedures related to the assets acquired and liabilities assumed. The preliminary November 7, 2019 fair value is as follows:</w:t>
      </w:r>
    </w:p>
    <w:p>
      <w:pPr>
        <w:spacing w:after="0" w:line="151"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34925</wp:posOffset>
            </wp:positionV>
            <wp:extent cx="637159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71590" cy="180340"/>
                    </a:xfrm>
                    <a:prstGeom prst="rect">
                      <a:avLst/>
                    </a:prstGeom>
                    <a:noFill/>
                  </pic:spPr>
                </pic:pic>
              </a:graphicData>
            </a:graphic>
          </wp:anchor>
        </w:drawing>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Assets acquired:</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860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4,745</w:t>
            </w:r>
          </w:p>
        </w:tc>
      </w:tr>
      <w:tr>
        <w:trPr>
          <w:trHeight w:val="33"/>
        </w:trPr>
        <w:tc>
          <w:tcPr>
            <w:tcW w:w="8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Accounts receivable, net</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29,613</w:t>
            </w:r>
          </w:p>
        </w:tc>
      </w:tr>
      <w:tr>
        <w:trPr>
          <w:trHeight w:val="237"/>
        </w:trPr>
        <w:tc>
          <w:tcPr>
            <w:tcW w:w="860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43,091</w:t>
            </w:r>
          </w:p>
        </w:tc>
      </w:tr>
      <w:tr>
        <w:trPr>
          <w:trHeight w:val="33"/>
        </w:trPr>
        <w:tc>
          <w:tcPr>
            <w:tcW w:w="8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Prepaid assets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r>
      <w:tr>
        <w:trPr>
          <w:trHeight w:val="237"/>
        </w:trPr>
        <w:tc>
          <w:tcPr>
            <w:tcW w:w="8600" w:type="dxa"/>
            <w:vAlign w:val="bottom"/>
          </w:tcPr>
          <w:p>
            <w:pPr>
              <w:ind w:left="260"/>
              <w:spacing w:after="0"/>
              <w:rPr>
                <w:sz w:val="20"/>
                <w:szCs w:val="20"/>
                <w:color w:val="auto"/>
              </w:rPr>
            </w:pPr>
            <w:r>
              <w:rPr>
                <w:rFonts w:ascii="Arial" w:cs="Arial" w:eastAsia="Arial" w:hAnsi="Arial"/>
                <w:sz w:val="16"/>
                <w:szCs w:val="16"/>
                <w:color w:val="auto"/>
              </w:rPr>
              <w:t>Other current assets</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3,821</w:t>
            </w:r>
          </w:p>
        </w:tc>
      </w:tr>
      <w:tr>
        <w:trPr>
          <w:trHeight w:val="33"/>
        </w:trPr>
        <w:tc>
          <w:tcPr>
            <w:tcW w:w="8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Property and equipment, net</w:t>
            </w:r>
            <w:r>
              <w:rPr>
                <w:rFonts w:ascii="Arial" w:cs="Arial" w:eastAsia="Arial" w:hAnsi="Arial"/>
                <w:sz w:val="21"/>
                <w:szCs w:val="21"/>
                <w:color w:val="auto"/>
                <w:vertAlign w:val="superscript"/>
              </w:rPr>
              <w:t>(1)</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10,363</w:t>
            </w:r>
          </w:p>
        </w:tc>
      </w:tr>
      <w:tr>
        <w:trPr>
          <w:trHeight w:val="270"/>
        </w:trPr>
        <w:tc>
          <w:tcPr>
            <w:tcW w:w="8600" w:type="dxa"/>
            <w:vAlign w:val="bottom"/>
          </w:tcPr>
          <w:p>
            <w:pPr>
              <w:ind w:left="260"/>
              <w:spacing w:after="0"/>
              <w:rPr>
                <w:sz w:val="20"/>
                <w:szCs w:val="20"/>
                <w:color w:val="auto"/>
              </w:rPr>
            </w:pPr>
            <w:r>
              <w:rPr>
                <w:rFonts w:ascii="Arial" w:cs="Arial" w:eastAsia="Arial" w:hAnsi="Arial"/>
                <w:sz w:val="16"/>
                <w:szCs w:val="16"/>
                <w:color w:val="auto"/>
              </w:rPr>
              <w:t>Intangible assets, net</w:t>
            </w:r>
            <w:r>
              <w:rPr>
                <w:rFonts w:ascii="Arial" w:cs="Arial" w:eastAsia="Arial" w:hAnsi="Arial"/>
                <w:sz w:val="21"/>
                <w:szCs w:val="21"/>
                <w:color w:val="auto"/>
                <w:vertAlign w:val="superscript"/>
              </w:rPr>
              <w:t>(2)</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848,375</w:t>
            </w:r>
          </w:p>
        </w:tc>
      </w:tr>
      <w:tr>
        <w:trPr>
          <w:trHeight w:val="25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long-term assets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20,997</w:t>
            </w:r>
          </w:p>
        </w:tc>
      </w:tr>
      <w:tr>
        <w:trPr>
          <w:trHeight w:val="237"/>
        </w:trPr>
        <w:tc>
          <w:tcPr>
            <w:tcW w:w="8600" w:type="dxa"/>
            <w:vAlign w:val="bottom"/>
          </w:tcPr>
          <w:p>
            <w:pPr>
              <w:ind w:left="20"/>
              <w:spacing w:after="0"/>
              <w:rPr>
                <w:sz w:val="20"/>
                <w:szCs w:val="20"/>
                <w:color w:val="auto"/>
              </w:rPr>
            </w:pPr>
            <w:r>
              <w:rPr>
                <w:rFonts w:ascii="Arial" w:cs="Arial" w:eastAsia="Arial" w:hAnsi="Arial"/>
                <w:sz w:val="16"/>
                <w:szCs w:val="16"/>
                <w:color w:val="auto"/>
              </w:rPr>
              <w:t>Liabilities assumed:</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8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25,200</w:t>
            </w:r>
          </w:p>
        </w:tc>
      </w:tr>
      <w:tr>
        <w:trPr>
          <w:trHeight w:val="237"/>
        </w:trPr>
        <w:tc>
          <w:tcPr>
            <w:tcW w:w="8600" w:type="dxa"/>
            <w:vAlign w:val="bottom"/>
          </w:tcPr>
          <w:p>
            <w:pPr>
              <w:ind w:left="260"/>
              <w:spacing w:after="0"/>
              <w:rPr>
                <w:sz w:val="20"/>
                <w:szCs w:val="20"/>
                <w:color w:val="auto"/>
              </w:rPr>
            </w:pPr>
            <w:r>
              <w:rPr>
                <w:rFonts w:ascii="Arial" w:cs="Arial" w:eastAsia="Arial" w:hAnsi="Arial"/>
                <w:sz w:val="16"/>
                <w:szCs w:val="16"/>
                <w:color w:val="auto"/>
              </w:rPr>
              <w:t>Other current liabilities</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11,237</w:t>
            </w:r>
          </w:p>
        </w:tc>
      </w:tr>
      <w:tr>
        <w:trPr>
          <w:trHeight w:val="33"/>
        </w:trPr>
        <w:tc>
          <w:tcPr>
            <w:tcW w:w="8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Deferred income taxes</w:t>
            </w:r>
            <w:r>
              <w:rPr>
                <w:rFonts w:ascii="Arial" w:cs="Arial" w:eastAsia="Arial" w:hAnsi="Arial"/>
                <w:sz w:val="21"/>
                <w:szCs w:val="21"/>
                <w:color w:val="auto"/>
                <w:vertAlign w:val="superscript"/>
              </w:rPr>
              <w:t>(3)</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13,982</w:t>
            </w:r>
          </w:p>
        </w:tc>
      </w:tr>
      <w:tr>
        <w:trPr>
          <w:trHeight w:val="237"/>
        </w:trPr>
        <w:tc>
          <w:tcPr>
            <w:tcW w:w="8600" w:type="dxa"/>
            <w:vAlign w:val="bottom"/>
          </w:tcPr>
          <w:p>
            <w:pPr>
              <w:ind w:left="260"/>
              <w:spacing w:after="0"/>
              <w:rPr>
                <w:sz w:val="20"/>
                <w:szCs w:val="20"/>
                <w:color w:val="auto"/>
              </w:rPr>
            </w:pPr>
            <w:r>
              <w:rPr>
                <w:rFonts w:ascii="Arial" w:cs="Arial" w:eastAsia="Arial" w:hAnsi="Arial"/>
                <w:sz w:val="16"/>
                <w:szCs w:val="16"/>
                <w:color w:val="auto"/>
              </w:rPr>
              <w:t>Other long-term liabilities</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18,891</w:t>
            </w:r>
          </w:p>
        </w:tc>
      </w:tr>
      <w:tr>
        <w:trPr>
          <w:trHeight w:val="33"/>
        </w:trPr>
        <w:tc>
          <w:tcPr>
            <w:tcW w:w="86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identifiable net assets</w:t>
            </w: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892,909</w:t>
            </w:r>
          </w:p>
        </w:tc>
      </w:tr>
      <w:tr>
        <w:trPr>
          <w:trHeight w:val="270"/>
        </w:trPr>
        <w:tc>
          <w:tcPr>
            <w:tcW w:w="86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(4)</w:t>
            </w: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96,037</w:t>
            </w:r>
          </w:p>
        </w:tc>
      </w:tr>
      <w:tr>
        <w:trPr>
          <w:trHeight w:val="244"/>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 acquired and liabilities assumed</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988,946</w:t>
            </w:r>
          </w:p>
        </w:tc>
      </w:tr>
      <w:tr>
        <w:trPr>
          <w:trHeight w:val="20"/>
        </w:trPr>
        <w:tc>
          <w:tcPr>
            <w:tcW w:w="8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both"/>
        <w:ind w:firstLine="8"/>
        <w:spacing w:after="0" w:line="261" w:lineRule="auto"/>
        <w:tabs>
          <w:tab w:leader="none" w:pos="232"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Property and equipment, net primarily consists of leasehold improvements for the Quest headquarters of $6.9 million, furniture and fixtures of $2.2 million, and equipment of $1.3 million. The Quest headquarters lease ends in April 2029. The useful lives of the leasehold improvements, furniture and fixtures, and equipment is consistent with the Company's accounting policies.</w:t>
      </w:r>
    </w:p>
    <w:p>
      <w:pPr>
        <w:spacing w:after="0" w:line="75" w:lineRule="exact"/>
        <w:rPr>
          <w:rFonts w:ascii="Arial" w:cs="Arial" w:eastAsia="Arial" w:hAnsi="Arial"/>
          <w:sz w:val="16"/>
          <w:szCs w:val="16"/>
          <w:color w:val="auto"/>
        </w:rPr>
      </w:pPr>
    </w:p>
    <w:p>
      <w:pPr>
        <w:jc w:val="both"/>
        <w:ind w:firstLine="8"/>
        <w:spacing w:after="0" w:line="253" w:lineRule="auto"/>
        <w:tabs>
          <w:tab w:leader="none" w:pos="231"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Intangible assets were recorded at fair value consistent with ASC 820 as a result of the Acquisition of Quest. Intangible assets consist of $730.0 million of indefinite brands and trademarks, $115.0 million of amortizable customer relationships, and $3.4 million of internally developed software. The useful lives of the intangible assets are disclosed in Note 5 of the consolidated financial statements. The fair value measurement of the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and market comparable data and companies.</w:t>
      </w:r>
    </w:p>
    <w:p>
      <w:pPr>
        <w:spacing w:after="0" w:line="83"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result of the increase in the fair value of the identifiable intangible asset, the deferred income tax liability was increased by $14.0 million.</w:t>
      </w:r>
    </w:p>
    <w:p>
      <w:pPr>
        <w:spacing w:after="0" w:line="113" w:lineRule="exact"/>
        <w:rPr>
          <w:rFonts w:ascii="Arial" w:cs="Arial" w:eastAsia="Arial" w:hAnsi="Arial"/>
          <w:sz w:val="16"/>
          <w:szCs w:val="16"/>
          <w:color w:val="auto"/>
        </w:rPr>
      </w:pPr>
    </w:p>
    <w:p>
      <w:pPr>
        <w:jc w:val="both"/>
        <w:ind w:firstLine="8"/>
        <w:spacing w:after="0" w:line="256" w:lineRule="auto"/>
        <w:tabs>
          <w:tab w:leader="none" w:pos="232" w:val="left"/>
        </w:tabs>
        <w:numPr>
          <w:ilvl w:val="0"/>
          <w:numId w:val="3"/>
        </w:numPr>
        <w:rPr>
          <w:rFonts w:ascii="Arial" w:cs="Arial" w:eastAsia="Arial" w:hAnsi="Arial"/>
          <w:sz w:val="16"/>
          <w:szCs w:val="16"/>
          <w:color w:val="auto"/>
        </w:rPr>
      </w:pPr>
      <w:r>
        <w:rPr>
          <w:rFonts w:ascii="Arial" w:cs="Arial" w:eastAsia="Arial" w:hAnsi="Arial"/>
          <w:sz w:val="16"/>
          <w:szCs w:val="16"/>
          <w:color w:val="auto"/>
        </w:rPr>
        <w:t>Goodwill was recorded at fair value consistent with ASC 820 as a result of the Acquisition of Quest. Amounts recorded for goodwill created in an acquisition structured as a stock purchase for tax are generally not expected to be deductible for tax purposes. Amounts recorded for goodwill resulting in a tax basis step-up are generally expected to be deductible for tax purposes. Tax deductible Goodwill is estimated to be $82.4 million. Goodwill represents the future economic benefits arising from other assets acquired that could not be individually identified and separately recognized.</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purchase price is pending finalization per the terms of the Purchase Agreement. The final determination of the fair value of the assets acquired and liabilities assumed is expected to be completed as soon as practicable after completion of the Acquisition of Quest, including a period of time to finalize working capital adjustments and tax attributes. The final determinations will be completed prior to one year from the transaction completion, consistent with ASC 805.</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results of Quest's operations have been included in the Simply Good Foods' Consolidated Financial Statements since November 7, 2019, the date of acquisition. The following table provides net sales from the acquired Quest business included in the Company's results:</w:t>
      </w:r>
    </w:p>
    <w:p>
      <w:pPr>
        <w:spacing w:after="0" w:line="351" w:lineRule="exact"/>
        <w:rPr>
          <w:sz w:val="20"/>
          <w:szCs w:val="20"/>
          <w:color w:val="auto"/>
        </w:rPr>
      </w:pPr>
    </w:p>
    <w:tbl>
      <w:tblPr>
        <w:tblLayout w:type="fixed"/>
        <w:tblInd w:w="3220" w:type="dxa"/>
        <w:tblCellMar>
          <w:top w:w="0" w:type="dxa"/>
          <w:left w:w="0" w:type="dxa"/>
          <w:bottom w:w="0" w:type="dxa"/>
          <w:right w:w="0" w:type="dxa"/>
        </w:tblCellMar>
      </w:tblPr>
      <w:tr>
        <w:trPr>
          <w:trHeight w:val="206"/>
        </w:trPr>
        <w:tc>
          <w:tcPr>
            <w:tcW w:w="3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w w:val="96"/>
              </w:rPr>
              <w:t>Thirteen Weeks</w:t>
            </w:r>
          </w:p>
        </w:tc>
        <w:tc>
          <w:tcPr>
            <w:tcW w:w="520" w:type="dxa"/>
            <w:vAlign w:val="bottom"/>
          </w:tcPr>
          <w:p>
            <w:pPr>
              <w:ind w:left="20"/>
              <w:spacing w:after="0"/>
              <w:rPr>
                <w:sz w:val="20"/>
                <w:szCs w:val="20"/>
                <w:color w:val="auto"/>
              </w:rPr>
            </w:pPr>
            <w:r>
              <w:rPr>
                <w:rFonts w:ascii="Arial" w:cs="Arial" w:eastAsia="Arial" w:hAnsi="Arial"/>
                <w:sz w:val="16"/>
                <w:szCs w:val="16"/>
                <w:color w:val="auto"/>
              </w:rPr>
              <w:t>Ended</w:t>
            </w:r>
          </w:p>
        </w:tc>
      </w:tr>
      <w:tr>
        <w:trPr>
          <w:trHeight w:val="270"/>
        </w:trPr>
        <w:tc>
          <w:tcPr>
            <w:tcW w:w="3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November 30,</w:t>
            </w:r>
          </w:p>
        </w:tc>
        <w:tc>
          <w:tcPr>
            <w:tcW w:w="520" w:type="dxa"/>
            <w:vAlign w:val="bottom"/>
          </w:tcPr>
          <w:p>
            <w:pPr>
              <w:ind w:left="20"/>
              <w:spacing w:after="0"/>
              <w:rPr>
                <w:sz w:val="20"/>
                <w:szCs w:val="20"/>
                <w:color w:val="auto"/>
              </w:rPr>
            </w:pPr>
            <w:r>
              <w:rPr>
                <w:rFonts w:ascii="Arial" w:cs="Arial" w:eastAsia="Arial" w:hAnsi="Arial"/>
                <w:sz w:val="16"/>
                <w:szCs w:val="16"/>
                <w:color w:val="auto"/>
              </w:rPr>
              <w:t>2019</w:t>
            </w:r>
          </w:p>
        </w:tc>
      </w:tr>
      <w:tr>
        <w:trPr>
          <w:trHeight w:val="33"/>
        </w:trPr>
        <w:tc>
          <w:tcPr>
            <w:tcW w:w="3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7"/>
        </w:trPr>
        <w:tc>
          <w:tcPr>
            <w:tcW w:w="4480" w:type="dxa"/>
            <w:vAlign w:val="bottom"/>
            <w:gridSpan w:val="2"/>
            <w:shd w:val="clear" w:color="auto" w:fill="CCEEFF"/>
          </w:tcPr>
          <w:p>
            <w:pPr>
              <w:jc w:val="right"/>
              <w:ind w:right="3779"/>
              <w:spacing w:after="0"/>
              <w:rPr>
                <w:sz w:val="20"/>
                <w:szCs w:val="20"/>
                <w:color w:val="auto"/>
              </w:rPr>
            </w:pPr>
            <w:r>
              <w:rPr>
                <w:rFonts w:ascii="Arial" w:cs="Arial" w:eastAsia="Arial" w:hAnsi="Arial"/>
                <w:sz w:val="16"/>
                <w:szCs w:val="16"/>
                <w:color w:val="auto"/>
                <w:w w:val="89"/>
              </w:rPr>
              <w:t>Net sales</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17,082</w:t>
            </w:r>
          </w:p>
        </w:tc>
      </w:tr>
      <w:tr>
        <w:trPr>
          <w:trHeight w:val="33"/>
        </w:trPr>
        <w:tc>
          <w:tcPr>
            <w:tcW w:w="3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unaudited pro forma combined financial information presents combined results of Atkins and Quest as if the Acquisition of Quest has occurred at the beginning of fiscal 2019:</w:t>
      </w:r>
    </w:p>
    <w:p>
      <w:pPr>
        <w:spacing w:after="0" w:line="134" w:lineRule="exact"/>
        <w:rPr>
          <w:sz w:val="20"/>
          <w:szCs w:val="20"/>
          <w:color w:val="auto"/>
        </w:rPr>
      </w:pPr>
    </w:p>
    <w:tbl>
      <w:tblPr>
        <w:tblLayout w:type="fixed"/>
        <w:tblInd w:w="2280" w:type="dxa"/>
        <w:tblCellMar>
          <w:top w:w="0" w:type="dxa"/>
          <w:left w:w="0" w:type="dxa"/>
          <w:bottom w:w="0" w:type="dxa"/>
          <w:right w:w="0" w:type="dxa"/>
        </w:tblCellMar>
      </w:tblPr>
      <w:tr>
        <w:trPr>
          <w:trHeight w:val="206"/>
        </w:trPr>
        <w:tc>
          <w:tcPr>
            <w:tcW w:w="35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w w:val="94"/>
              </w:rPr>
              <w:t>Thirteen Weeks</w:t>
            </w:r>
          </w:p>
        </w:tc>
        <w:tc>
          <w:tcPr>
            <w:tcW w:w="540" w:type="dxa"/>
            <w:vAlign w:val="bottom"/>
          </w:tcPr>
          <w:p>
            <w:pPr>
              <w:ind w:left="20"/>
              <w:spacing w:after="0"/>
              <w:rPr>
                <w:sz w:val="20"/>
                <w:szCs w:val="20"/>
                <w:color w:val="auto"/>
              </w:rPr>
            </w:pPr>
            <w:r>
              <w:rPr>
                <w:rFonts w:ascii="Arial" w:cs="Arial" w:eastAsia="Arial" w:hAnsi="Arial"/>
                <w:sz w:val="16"/>
                <w:szCs w:val="16"/>
                <w:color w:val="auto"/>
              </w:rPr>
              <w:t>Ended</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Thirteen Weeks</w:t>
            </w:r>
          </w:p>
        </w:tc>
        <w:tc>
          <w:tcPr>
            <w:tcW w:w="540" w:type="dxa"/>
            <w:vAlign w:val="bottom"/>
          </w:tcPr>
          <w:p>
            <w:pPr>
              <w:ind w:left="40"/>
              <w:spacing w:after="0"/>
              <w:rPr>
                <w:sz w:val="20"/>
                <w:szCs w:val="20"/>
                <w:color w:val="auto"/>
              </w:rPr>
            </w:pPr>
            <w:r>
              <w:rPr>
                <w:rFonts w:ascii="Arial" w:cs="Arial" w:eastAsia="Arial" w:hAnsi="Arial"/>
                <w:sz w:val="16"/>
                <w:szCs w:val="16"/>
                <w:color w:val="auto"/>
              </w:rPr>
              <w:t>Ended</w:t>
            </w:r>
          </w:p>
        </w:tc>
      </w:tr>
      <w:tr>
        <w:trPr>
          <w:trHeight w:val="270"/>
        </w:trPr>
        <w:tc>
          <w:tcPr>
            <w:tcW w:w="3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1"/>
              </w:rPr>
              <w:t>November 30,</w:t>
            </w:r>
          </w:p>
        </w:tc>
        <w:tc>
          <w:tcPr>
            <w:tcW w:w="540" w:type="dxa"/>
            <w:vAlign w:val="bottom"/>
          </w:tcPr>
          <w:p>
            <w:pPr>
              <w:ind w:left="20"/>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3"/>
              </w:rPr>
              <w:t>November 24,</w:t>
            </w:r>
          </w:p>
        </w:tc>
        <w:tc>
          <w:tcPr>
            <w:tcW w:w="540" w:type="dxa"/>
            <w:vAlign w:val="bottom"/>
          </w:tcPr>
          <w:p>
            <w:pPr>
              <w:ind w:left="40"/>
              <w:spacing w:after="0"/>
              <w:rPr>
                <w:sz w:val="20"/>
                <w:szCs w:val="20"/>
                <w:color w:val="auto"/>
              </w:rPr>
            </w:pPr>
            <w:r>
              <w:rPr>
                <w:rFonts w:ascii="Arial" w:cs="Arial" w:eastAsia="Arial" w:hAnsi="Arial"/>
                <w:sz w:val="16"/>
                <w:szCs w:val="16"/>
                <w:color w:val="auto"/>
              </w:rPr>
              <w:t>2018</w:t>
            </w:r>
          </w:p>
        </w:tc>
      </w:tr>
      <w:tr>
        <w:trPr>
          <w:trHeight w:val="33"/>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220,556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189,945</w:t>
            </w:r>
          </w:p>
        </w:tc>
      </w:tr>
      <w:tr>
        <w:trPr>
          <w:trHeight w:val="237"/>
        </w:trPr>
        <w:tc>
          <w:tcPr>
            <w:tcW w:w="35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88,188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61,587</w:t>
            </w:r>
          </w:p>
        </w:tc>
      </w:tr>
      <w:tr>
        <w:trPr>
          <w:trHeight w:val="33"/>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r>
      <w:tr>
        <w:trPr>
          <w:trHeight w:val="23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15,648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(19,083)</w:t>
            </w:r>
          </w:p>
        </w:tc>
      </w:tr>
      <w:tr>
        <w:trPr>
          <w:trHeight w:val="33"/>
        </w:trPr>
        <w:tc>
          <w:tcPr>
            <w:tcW w:w="3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These unaudited pro forma combined financial statements are prepared based on Article 11 period end guidance. The results include certain adjustments, as required under ASC 805, which are different than Article 11 pro forma requirements. ASC 805 requires pro forma adjustments to reflect the effects of fair value adjustments, transaction costs, capital structure changes, the tax effects of such adjustments, and also requires nonrecurring adjustments be prepared as though the Acquisition of Quest had occurred as of the beginning of the earliest period presented. The adjustments to the historical Quest financial results include the exclusion of legacy derivatives and interest expense that were settled in the execution of the Acquisition of Quest. Additional adjustments include non recurring transaction costs and the portion of the inventory fair value adjustment recorded by the Company during the thirteen weeks ended November 30, 2019. Both periods were further adjusted to reflect a full thirteen week period of a) fair value adjustments related to inventory and incremental customer relationship amortization, b) interest expense with the higher principal associated with new term loan debt, and c) the effects of the adjustments on income taxes and net income.</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 forma financial information is not intended to represent or be indicative of the actual results of operations of the combined business that would have been reported had the Acquisition of Quest been completed at the beginning of the fiscal year 2019, nor is it representative of future operating results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 The singular performance obligation of our customer contracts is determined by each individual purchase order and the products ordered, with revenue being recognized at a point-in-time when the obligation under the terms of the agreement is satisfied and product control is transferred to the customer. Specifically, control transfers to our customers when the product is delivered to or picked up by our customers based on applicable shipping terms. The performance obligations of our customer contracts are generally satisfied within 30 days.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Revenue is measured as the amount of consideration we expect to receive in exchange for fulfilled product orders, including estimates of variable consideration. The most common forms of variable consideration include trade programs, consumer incentives, coupon redemptions, allowances for unsaleable products, and any additional amounts where a distinct good or service cannot be identified or the value cannot be reasonably estimated. Estimates of variable consideration are made using various information including historical data on performance of similar trade promotional activities, as well as the Company’s best estimate of current activity. We review these estimates regularly and make revisions as necessary. Revisions can include changes for consideration paid to customers that lack sufficient evidence to support a distinct good or service assertion, or for which a reasonably estimable fair value cannot be determined, primarily related to our assessments of cooperative advertising programs. Uncertainties related to the estimate of variable consideration are resolved in a short time frame and do not require any additional constraint on variable consideration. Adjustments to variable consideration are recognized in the period the adjustments are identified and have historically been insignificant. Revenue is recognized net of any taxes collected from customers and subsequently remitted to governmental authorities.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standard assurance type warranties that our products will comply with all agreed-upon specifications. No services beyond an assurance type warranty are provided to our customers. While customers generally have a right to return defective or non-conforming products, past experience has demonstrated that product returns have been immaterial. Customer remedies for defective or non-conforming products may include a refund or exchange. As a result, the right of return is estimated and recorded as a reduction in revenue, if necessary.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customer contracts identify product quantity, price and payment terms. Payment terms are granted consistent with industry standards. Although some payment terms may be more extended, the majority of our payment terms are less than 60 days. As a result, we do not adjust our revenues for the effects of a significant financing component. Amounts billed and due from our customers are classified as accounts receivable on the condensed consolidated balance sheets.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utilizes third-party contract manufacturers for the manufacture of our products. We have evaluated whether the Company is the principal or agent in these relationships. We have determined that the Company is the principal in all cases, as it maintains the responsibility for fulfillment, risk of loss and establishes the price.</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elected the following practical expedients in accordance with ASC Topic 606:</w:t>
      </w:r>
    </w:p>
    <w:p>
      <w:pPr>
        <w:spacing w:after="0" w:line="225" w:lineRule="exact"/>
        <w:rPr>
          <w:sz w:val="20"/>
          <w:szCs w:val="20"/>
          <w:color w:val="auto"/>
        </w:rPr>
      </w:pPr>
    </w:p>
    <w:p>
      <w:pPr>
        <w:jc w:val="both"/>
        <w:ind w:left="1300" w:hanging="320"/>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r>
        <w:rPr>
          <w:rFonts w:ascii="Arial" w:cs="Arial" w:eastAsia="Arial" w:hAnsi="Arial"/>
          <w:sz w:val="18"/>
          <w:szCs w:val="18"/>
          <w:color w:val="auto"/>
        </w:rPr>
        <w:t>—We have elected to account for shipping and handling costs incurred to deliver products to customers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fulfillment activities, rather than a promised service. As such, fulfillment costs are included in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our Condensed Consolidated Statements of Operations and Comprehensive (Loss) Income.</w:t>
      </w:r>
    </w:p>
    <w:p>
      <w:pPr>
        <w:spacing w:after="0" w:line="181"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Costs of obtaining a contract</w:t>
      </w:r>
      <w:r>
        <w:rPr>
          <w:rFonts w:ascii="Arial" w:cs="Arial" w:eastAsia="Arial" w:hAnsi="Arial"/>
          <w:sz w:val="18"/>
          <w:szCs w:val="18"/>
          <w:color w:val="auto"/>
        </w:rPr>
        <w:t>—We have elected to expense costs of obtaining a contract because the amortization period would be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Revenues from transactions with external customers for each of Simply Good Foods’ products would be impracticable to disclose and management does not view its business by product line. The following table presents our revenue disaggregated by geographic area and brand.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60" w:type="dxa"/>
            <w:vAlign w:val="bottom"/>
            <w:gridSpan w:val="4"/>
          </w:tcPr>
          <w:p>
            <w:pPr>
              <w:jc w:val="right"/>
              <w:ind w:right="679"/>
              <w:spacing w:after="0"/>
              <w:rPr>
                <w:sz w:val="20"/>
                <w:szCs w:val="20"/>
                <w:color w:val="auto"/>
              </w:rPr>
            </w:pPr>
            <w:r>
              <w:rPr>
                <w:rFonts w:ascii="Arial" w:cs="Arial" w:eastAsia="Arial" w:hAnsi="Arial"/>
                <w:sz w:val="16"/>
                <w:szCs w:val="16"/>
                <w:color w:val="auto"/>
              </w:rPr>
              <w:t>Thirteen Weeks Ended</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2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40" w:type="dxa"/>
            <w:vAlign w:val="bottom"/>
            <w:gridSpan w:val="3"/>
          </w:tcPr>
          <w:p>
            <w:pPr>
              <w:ind w:left="60"/>
              <w:spacing w:after="0"/>
              <w:rPr>
                <w:sz w:val="20"/>
                <w:szCs w:val="20"/>
                <w:color w:val="auto"/>
              </w:rPr>
            </w:pPr>
            <w:r>
              <w:rPr>
                <w:rFonts w:ascii="Arial" w:cs="Arial" w:eastAsia="Arial" w:hAnsi="Arial"/>
                <w:sz w:val="16"/>
                <w:szCs w:val="16"/>
                <w:color w:val="auto"/>
              </w:rPr>
              <w:t>November 30, 2019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w w:val="95"/>
              </w:rPr>
              <w:t>November 24, 2018</w:t>
            </w: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7040" w:type="dxa"/>
            <w:vAlign w:val="bottom"/>
          </w:tcPr>
          <w:p>
            <w:pPr>
              <w:ind w:left="140"/>
              <w:spacing w:after="0"/>
              <w:rPr>
                <w:sz w:val="20"/>
                <w:szCs w:val="20"/>
                <w:color w:val="auto"/>
              </w:rPr>
            </w:pPr>
            <w:r>
              <w:rPr>
                <w:rFonts w:ascii="Arial" w:cs="Arial" w:eastAsia="Arial" w:hAnsi="Arial"/>
                <w:sz w:val="16"/>
                <w:szCs w:val="16"/>
                <w:color w:val="auto"/>
              </w:rPr>
              <w:t>North America</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127,812</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114,606</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 w:type="dxa"/>
            <w:vAlign w:val="bottom"/>
          </w:tcPr>
          <w:p>
            <w:pPr>
              <w:spacing w:after="0"/>
              <w:rPr>
                <w:sz w:val="23"/>
                <w:szCs w:val="23"/>
                <w:color w:val="auto"/>
              </w:rPr>
            </w:pPr>
          </w:p>
        </w:tc>
        <w:tc>
          <w:tcPr>
            <w:tcW w:w="7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6,325</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7040" w:type="dxa"/>
            <w:vAlign w:val="bottom"/>
          </w:tcPr>
          <w:p>
            <w:pPr>
              <w:ind w:left="260"/>
              <w:spacing w:after="0"/>
              <w:rPr>
                <w:sz w:val="20"/>
                <w:szCs w:val="20"/>
                <w:color w:val="auto"/>
              </w:rPr>
            </w:pPr>
            <w:r>
              <w:rPr>
                <w:rFonts w:ascii="Arial" w:cs="Arial" w:eastAsia="Arial" w:hAnsi="Arial"/>
                <w:sz w:val="16"/>
                <w:szCs w:val="16"/>
                <w:color w:val="auto"/>
              </w:rPr>
              <w:t>Total Atkins</w:t>
            </w:r>
          </w:p>
        </w:tc>
        <w:tc>
          <w:tcPr>
            <w:tcW w:w="4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135,071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120,931</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 w:type="dxa"/>
            <w:vAlign w:val="bottom"/>
          </w:tcPr>
          <w:p>
            <w:pPr>
              <w:spacing w:after="0"/>
              <w:rPr>
                <w:sz w:val="23"/>
                <w:szCs w:val="23"/>
                <w:color w:val="auto"/>
              </w:rPr>
            </w:pPr>
          </w:p>
        </w:tc>
        <w:tc>
          <w:tcPr>
            <w:tcW w:w="70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7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Quest</w:t>
            </w:r>
            <w:r>
              <w:rPr>
                <w:rFonts w:ascii="Arial" w:cs="Arial" w:eastAsia="Arial" w:hAnsi="Arial"/>
                <w:sz w:val="21"/>
                <w:szCs w:val="21"/>
                <w:color w:val="auto"/>
                <w:vertAlign w:val="superscript"/>
              </w:rPr>
              <w:t>(1)</w:t>
            </w: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20" w:type="dxa"/>
            <w:vAlign w:val="bottom"/>
          </w:tcPr>
          <w:p>
            <w:pPr>
              <w:spacing w:after="0"/>
              <w:rPr>
                <w:sz w:val="22"/>
                <w:szCs w:val="22"/>
                <w:color w:val="auto"/>
              </w:rPr>
            </w:pPr>
          </w:p>
        </w:tc>
        <w:tc>
          <w:tcPr>
            <w:tcW w:w="70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7040" w:type="dxa"/>
            <w:vAlign w:val="bottom"/>
          </w:tcPr>
          <w:p>
            <w:pPr>
              <w:ind w:left="26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152,153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120,931</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6"/>
                <w:szCs w:val="16"/>
                <w:color w:val="auto"/>
              </w:rPr>
              <w:t>(1) Quest net sales are primarily all in North America.</w:t>
            </w: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7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5. Goodwill and Intangibles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60" w:type="dxa"/>
            <w:vAlign w:val="bottom"/>
            <w:gridSpan w:val="2"/>
          </w:tcPr>
          <w:p>
            <w:pPr>
              <w:ind w:left="660"/>
              <w:spacing w:after="0"/>
              <w:rPr>
                <w:sz w:val="20"/>
                <w:szCs w:val="20"/>
                <w:color w:val="auto"/>
              </w:rPr>
            </w:pPr>
            <w:r>
              <w:rPr>
                <w:rFonts w:ascii="Arial" w:cs="Arial" w:eastAsia="Arial" w:hAnsi="Arial"/>
                <w:sz w:val="18"/>
                <w:szCs w:val="18"/>
                <w:color w:val="auto"/>
                <w:w w:val="98"/>
              </w:rPr>
              <w:t>Changes to goodwill during the thirteen weeks ended November 30, 2019 were as follows: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 w:type="dxa"/>
            <w:vAlign w:val="bottom"/>
            <w:tcBorders>
              <w:right w:val="single" w:sz="8" w:color="CCEEFF"/>
            </w:tcBorders>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August 31, 2019</w:t>
            </w: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471,427</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6"/>
                <w:szCs w:val="16"/>
                <w:color w:val="auto"/>
              </w:rPr>
              <w:t>Acquisition of business</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96,037</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 w:type="dxa"/>
            <w:vAlign w:val="bottom"/>
            <w:tcBorders>
              <w:right w:val="single" w:sz="8" w:color="CCEEFF"/>
            </w:tcBorders>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November 30, 2019</w:t>
            </w: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567,464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change in the Company's Goodwill from August 31, 2019 to November 30, 2019 is the result of the acquisition method of accounting as described in Note 3. There were no impairment charges related to goodwill during this period or since the inception of the Company.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Intangible assets, net </w:t>
      </w:r>
      <w:r>
        <w:rPr>
          <w:rFonts w:ascii="Arial" w:cs="Arial" w:eastAsia="Arial" w:hAnsi="Arial"/>
          <w:sz w:val="18"/>
          <w:szCs w:val="18"/>
          <w:color w:val="auto"/>
        </w:rPr>
        <w:t>in our Condensed Consolidated Balance Sheets consist of the following:</w:t>
      </w:r>
    </w:p>
    <w:p>
      <w:pPr>
        <w:spacing w:after="0" w:line="189"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1"/>
              </w:rPr>
              <w:t>November 30, 2019</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color w:val="auto"/>
              </w:rPr>
              <w:t>Gross carrying</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Accumulated</w:t>
            </w:r>
          </w:p>
        </w:tc>
        <w:tc>
          <w:tcPr>
            <w:tcW w:w="1420" w:type="dxa"/>
            <w:vAlign w:val="bottom"/>
            <w:gridSpan w:val="2"/>
            <w:vMerge w:val="restart"/>
          </w:tcPr>
          <w:p>
            <w:pPr>
              <w:ind w:left="40"/>
              <w:spacing w:after="0"/>
              <w:rPr>
                <w:sz w:val="20"/>
                <w:szCs w:val="20"/>
                <w:color w:val="auto"/>
              </w:rPr>
            </w:pPr>
            <w:r>
              <w:rPr>
                <w:rFonts w:ascii="Arial" w:cs="Arial" w:eastAsia="Arial" w:hAnsi="Arial"/>
                <w:sz w:val="16"/>
                <w:szCs w:val="16"/>
                <w:color w:val="auto"/>
                <w:w w:val="94"/>
              </w:rPr>
              <w:t>Net carrying amount</w:t>
            </w:r>
          </w:p>
        </w:tc>
        <w:tc>
          <w:tcPr>
            <w:tcW w:w="0" w:type="dxa"/>
            <w:vAlign w:val="bottom"/>
          </w:tcPr>
          <w:p>
            <w:pPr>
              <w:spacing w:after="0"/>
              <w:rPr>
                <w:sz w:val="1"/>
                <w:szCs w:val="1"/>
                <w:color w:val="auto"/>
              </w:rPr>
            </w:pPr>
          </w:p>
        </w:tc>
      </w:tr>
      <w:tr>
        <w:trPr>
          <w:trHeight w:val="98"/>
        </w:trPr>
        <w:tc>
          <w:tcPr>
            <w:tcW w:w="4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vMerge w:val="restart"/>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9"/>
              </w:rPr>
              <w:t>Useful life</w:t>
            </w:r>
          </w:p>
        </w:tc>
        <w:tc>
          <w:tcPr>
            <w:tcW w:w="100" w:type="dxa"/>
            <w:vAlign w:val="bottom"/>
            <w:vMerge w:val="restart"/>
          </w:tcPr>
          <w:p>
            <w:pPr>
              <w:spacing w:after="0"/>
              <w:rPr>
                <w:sz w:val="8"/>
                <w:szCs w:val="8"/>
                <w:color w:val="auto"/>
              </w:rPr>
            </w:pPr>
          </w:p>
        </w:tc>
        <w:tc>
          <w:tcPr>
            <w:tcW w:w="160" w:type="dxa"/>
            <w:vAlign w:val="bottom"/>
            <w:vMerge w:val="restart"/>
          </w:tcPr>
          <w:p>
            <w:pPr>
              <w:spacing w:after="0"/>
              <w:rPr>
                <w:sz w:val="8"/>
                <w:szCs w:val="8"/>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color w:val="auto"/>
              </w:rPr>
              <w:t>amount</w:t>
            </w:r>
          </w:p>
        </w:tc>
        <w:tc>
          <w:tcPr>
            <w:tcW w:w="1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vMerge w:val="restart"/>
          </w:tcPr>
          <w:p>
            <w:pPr>
              <w:jc w:val="center"/>
              <w:ind w:right="119"/>
              <w:spacing w:after="0"/>
              <w:rPr>
                <w:sz w:val="20"/>
                <w:szCs w:val="20"/>
                <w:color w:val="auto"/>
              </w:rPr>
            </w:pPr>
            <w:r>
              <w:rPr>
                <w:rFonts w:ascii="Arial" w:cs="Arial" w:eastAsia="Arial" w:hAnsi="Arial"/>
                <w:sz w:val="16"/>
                <w:szCs w:val="16"/>
                <w:color w:val="auto"/>
                <w:w w:val="94"/>
              </w:rPr>
              <w:t>amortization</w:t>
            </w:r>
          </w:p>
        </w:tc>
        <w:tc>
          <w:tcPr>
            <w:tcW w:w="100" w:type="dxa"/>
            <w:vAlign w:val="bottom"/>
            <w:vMerge w:val="restart"/>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3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360"/>
              <w:spacing w:after="0"/>
              <w:rPr>
                <w:sz w:val="20"/>
                <w:szCs w:val="20"/>
                <w:color w:val="auto"/>
              </w:rPr>
            </w:pPr>
            <w:r>
              <w:rPr>
                <w:rFonts w:ascii="Arial" w:cs="Arial" w:eastAsia="Arial" w:hAnsi="Arial"/>
                <w:sz w:val="16"/>
                <w:szCs w:val="16"/>
                <w:color w:val="auto"/>
              </w:rPr>
              <w:t>Brands and trademarks</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Indefinite life   $</w:t>
            </w:r>
          </w:p>
        </w:tc>
        <w:tc>
          <w:tcPr>
            <w:tcW w:w="1240" w:type="dxa"/>
            <w:vAlign w:val="bottom"/>
          </w:tcPr>
          <w:p>
            <w:pPr>
              <w:jc w:val="right"/>
              <w:spacing w:after="0"/>
              <w:rPr>
                <w:sz w:val="20"/>
                <w:szCs w:val="20"/>
                <w:color w:val="auto"/>
              </w:rPr>
            </w:pPr>
            <w:r>
              <w:rPr>
                <w:rFonts w:ascii="Arial" w:cs="Arial" w:eastAsia="Arial" w:hAnsi="Arial"/>
                <w:sz w:val="16"/>
                <w:szCs w:val="16"/>
                <w:color w:val="auto"/>
              </w:rPr>
              <w:t>962,000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962,000</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360"/>
              <w:spacing w:after="0"/>
              <w:rPr>
                <w:sz w:val="20"/>
                <w:szCs w:val="20"/>
                <w:color w:val="auto"/>
              </w:rPr>
            </w:pPr>
            <w:r>
              <w:rPr>
                <w:rFonts w:ascii="Arial" w:cs="Arial" w:eastAsia="Arial" w:hAnsi="Arial"/>
                <w:sz w:val="16"/>
                <w:szCs w:val="16"/>
                <w:color w:val="auto"/>
              </w:rPr>
              <w:t>Customer relationships</w:t>
            </w:r>
          </w:p>
        </w:tc>
        <w:tc>
          <w:tcPr>
            <w:tcW w:w="1300" w:type="dxa"/>
            <w:vAlign w:val="bottom"/>
            <w:gridSpan w:val="3"/>
          </w:tcPr>
          <w:p>
            <w:pPr>
              <w:jc w:val="center"/>
              <w:ind w:right="199"/>
              <w:spacing w:after="0"/>
              <w:rPr>
                <w:sz w:val="20"/>
                <w:szCs w:val="20"/>
                <w:color w:val="auto"/>
              </w:rPr>
            </w:pPr>
            <w:r>
              <w:rPr>
                <w:rFonts w:ascii="Arial" w:cs="Arial" w:eastAsia="Arial" w:hAnsi="Arial"/>
                <w:sz w:val="16"/>
                <w:szCs w:val="16"/>
                <w:color w:val="auto"/>
                <w:w w:val="87"/>
              </w:rPr>
              <w:t>15 years</w:t>
            </w:r>
          </w:p>
        </w:tc>
        <w:tc>
          <w:tcPr>
            <w:tcW w:w="1240" w:type="dxa"/>
            <w:vAlign w:val="bottom"/>
          </w:tcPr>
          <w:p>
            <w:pPr>
              <w:jc w:val="right"/>
              <w:spacing w:after="0"/>
              <w:rPr>
                <w:sz w:val="20"/>
                <w:szCs w:val="20"/>
                <w:color w:val="auto"/>
              </w:rPr>
            </w:pPr>
            <w:r>
              <w:rPr>
                <w:rFonts w:ascii="Arial" w:cs="Arial" w:eastAsia="Arial" w:hAnsi="Arial"/>
                <w:sz w:val="16"/>
                <w:szCs w:val="16"/>
                <w:color w:val="auto"/>
              </w:rPr>
              <w:t>174,000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9,803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164,197</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Proprietary recipes and formulas</w:t>
            </w:r>
          </w:p>
        </w:tc>
        <w:tc>
          <w:tcPr>
            <w:tcW w:w="1300" w:type="dxa"/>
            <w:vAlign w:val="bottom"/>
            <w:tcBorders>
              <w:bottom w:val="single" w:sz="8" w:color="CCEEFF"/>
            </w:tcBorders>
            <w:gridSpan w:val="3"/>
            <w:shd w:val="clear" w:color="auto" w:fill="CCEEFF"/>
          </w:tcPr>
          <w:p>
            <w:pPr>
              <w:jc w:val="center"/>
              <w:ind w:right="199"/>
              <w:spacing w:after="0"/>
              <w:rPr>
                <w:sz w:val="20"/>
                <w:szCs w:val="20"/>
                <w:color w:val="auto"/>
              </w:rPr>
            </w:pPr>
            <w:r>
              <w:rPr>
                <w:rFonts w:ascii="Arial" w:cs="Arial" w:eastAsia="Arial" w:hAnsi="Arial"/>
                <w:sz w:val="16"/>
                <w:szCs w:val="16"/>
                <w:color w:val="auto"/>
                <w:w w:val="87"/>
              </w:rPr>
              <w:t>7 years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4,619</w:t>
            </w:r>
          </w:p>
        </w:tc>
        <w:tc>
          <w:tcPr>
            <w:tcW w:w="0" w:type="dxa"/>
            <w:vAlign w:val="bottom"/>
          </w:tcPr>
          <w:p>
            <w:pPr>
              <w:spacing w:after="0"/>
              <w:rPr>
                <w:sz w:val="1"/>
                <w:szCs w:val="1"/>
                <w:color w:val="auto"/>
              </w:rPr>
            </w:pPr>
          </w:p>
        </w:tc>
      </w:tr>
      <w:tr>
        <w:trPr>
          <w:trHeight w:val="237"/>
        </w:trPr>
        <w:tc>
          <w:tcPr>
            <w:tcW w:w="4440" w:type="dxa"/>
            <w:vAlign w:val="bottom"/>
            <w:gridSpan w:val="2"/>
          </w:tcPr>
          <w:p>
            <w:pPr>
              <w:ind w:left="360"/>
              <w:spacing w:after="0"/>
              <w:rPr>
                <w:sz w:val="20"/>
                <w:szCs w:val="20"/>
                <w:color w:val="auto"/>
              </w:rPr>
            </w:pPr>
            <w:r>
              <w:rPr>
                <w:rFonts w:ascii="Arial" w:cs="Arial" w:eastAsia="Arial" w:hAnsi="Arial"/>
                <w:sz w:val="16"/>
                <w:szCs w:val="16"/>
                <w:color w:val="auto"/>
              </w:rPr>
              <w:t>Licensing agreements</w:t>
            </w:r>
          </w:p>
        </w:tc>
        <w:tc>
          <w:tcPr>
            <w:tcW w:w="1300" w:type="dxa"/>
            <w:vAlign w:val="bottom"/>
            <w:gridSpan w:val="3"/>
          </w:tcPr>
          <w:p>
            <w:pPr>
              <w:jc w:val="center"/>
              <w:ind w:right="199"/>
              <w:spacing w:after="0"/>
              <w:rPr>
                <w:sz w:val="20"/>
                <w:szCs w:val="20"/>
                <w:color w:val="auto"/>
              </w:rPr>
            </w:pPr>
            <w:r>
              <w:rPr>
                <w:rFonts w:ascii="Arial" w:cs="Arial" w:eastAsia="Arial" w:hAnsi="Arial"/>
                <w:sz w:val="16"/>
                <w:szCs w:val="16"/>
                <w:color w:val="auto"/>
                <w:w w:val="87"/>
              </w:rPr>
              <w:t>14 years</w:t>
            </w:r>
          </w:p>
        </w:tc>
        <w:tc>
          <w:tcPr>
            <w:tcW w:w="1240" w:type="dxa"/>
            <w:vAlign w:val="bottom"/>
          </w:tcPr>
          <w:p>
            <w:pPr>
              <w:jc w:val="right"/>
              <w:spacing w:after="0"/>
              <w:rPr>
                <w:sz w:val="20"/>
                <w:szCs w:val="20"/>
                <w:color w:val="auto"/>
              </w:rPr>
            </w:pPr>
            <w:r>
              <w:rPr>
                <w:rFonts w:ascii="Arial" w:cs="Arial" w:eastAsia="Arial" w:hAnsi="Arial"/>
                <w:sz w:val="16"/>
                <w:szCs w:val="16"/>
                <w:color w:val="auto"/>
              </w:rPr>
              <w:t>22,000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3,741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18,259</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Software and website development costs</w:t>
            </w: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3  -  5 years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4,082</w:t>
            </w:r>
          </w:p>
        </w:tc>
        <w:tc>
          <w:tcPr>
            <w:tcW w:w="0" w:type="dxa"/>
            <w:vAlign w:val="bottom"/>
          </w:tcPr>
          <w:p>
            <w:pPr>
              <w:spacing w:after="0"/>
              <w:rPr>
                <w:sz w:val="1"/>
                <w:szCs w:val="1"/>
                <w:color w:val="auto"/>
              </w:rPr>
            </w:pPr>
          </w:p>
        </w:tc>
      </w:tr>
      <w:tr>
        <w:trPr>
          <w:trHeight w:val="217"/>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1,170,664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17,507</w:t>
            </w:r>
          </w:p>
        </w:tc>
        <w:tc>
          <w:tcPr>
            <w:tcW w:w="100" w:type="dxa"/>
            <w:vAlign w:val="bottom"/>
          </w:tcPr>
          <w:p>
            <w:pPr>
              <w:spacing w:after="0"/>
              <w:rPr>
                <w:sz w:val="18"/>
                <w:szCs w:val="18"/>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1,153,157</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August 31, 2019</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3"/>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3"/>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color w:val="auto"/>
              </w:rPr>
              <w:t>Gross carrying</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Accumulated</w:t>
            </w:r>
          </w:p>
        </w:tc>
        <w:tc>
          <w:tcPr>
            <w:tcW w:w="200" w:type="dxa"/>
            <w:vAlign w:val="bottom"/>
          </w:tcPr>
          <w:p>
            <w:pPr>
              <w:spacing w:after="0"/>
              <w:rPr>
                <w:sz w:val="18"/>
                <w:szCs w:val="18"/>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Net carrying</w:t>
            </w:r>
          </w:p>
        </w:tc>
      </w:tr>
      <w:tr>
        <w:trPr>
          <w:trHeight w:val="233"/>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Useful life</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amount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4"/>
              </w:rPr>
              <w:t>amortization</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amount</w:t>
            </w: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440" w:type="dxa"/>
            <w:vAlign w:val="bottom"/>
            <w:gridSpan w:val="2"/>
          </w:tcPr>
          <w:p>
            <w:pPr>
              <w:ind w:left="360"/>
              <w:spacing w:after="0"/>
              <w:rPr>
                <w:sz w:val="20"/>
                <w:szCs w:val="20"/>
                <w:color w:val="auto"/>
              </w:rPr>
            </w:pPr>
            <w:r>
              <w:rPr>
                <w:rFonts w:ascii="Arial" w:cs="Arial" w:eastAsia="Arial" w:hAnsi="Arial"/>
                <w:sz w:val="16"/>
                <w:szCs w:val="16"/>
                <w:color w:val="auto"/>
              </w:rPr>
              <w:t>Brands and trademarks</w:t>
            </w: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Indefinite life   $</w:t>
            </w:r>
          </w:p>
        </w:tc>
        <w:tc>
          <w:tcPr>
            <w:tcW w:w="1220" w:type="dxa"/>
            <w:vAlign w:val="bottom"/>
          </w:tcPr>
          <w:p>
            <w:pPr>
              <w:jc w:val="right"/>
              <w:spacing w:after="0"/>
              <w:rPr>
                <w:sz w:val="20"/>
                <w:szCs w:val="20"/>
                <w:color w:val="auto"/>
              </w:rPr>
            </w:pPr>
            <w:r>
              <w:rPr>
                <w:rFonts w:ascii="Arial" w:cs="Arial" w:eastAsia="Arial" w:hAnsi="Arial"/>
                <w:sz w:val="16"/>
                <w:szCs w:val="16"/>
                <w:color w:val="auto"/>
              </w:rPr>
              <w:t>232,000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232,000</w:t>
            </w:r>
          </w:p>
        </w:tc>
      </w:tr>
      <w:tr>
        <w:trPr>
          <w:trHeight w:val="33"/>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440" w:type="dxa"/>
            <w:vAlign w:val="bottom"/>
            <w:gridSpan w:val="2"/>
          </w:tcPr>
          <w:p>
            <w:pPr>
              <w:ind w:left="360"/>
              <w:spacing w:after="0"/>
              <w:rPr>
                <w:sz w:val="20"/>
                <w:szCs w:val="20"/>
                <w:color w:val="auto"/>
              </w:rPr>
            </w:pPr>
            <w:r>
              <w:rPr>
                <w:rFonts w:ascii="Arial" w:cs="Arial" w:eastAsia="Arial" w:hAnsi="Arial"/>
                <w:sz w:val="16"/>
                <w:szCs w:val="16"/>
                <w:color w:val="auto"/>
              </w:rPr>
              <w:t>Customer relationships</w:t>
            </w:r>
          </w:p>
        </w:tc>
        <w:tc>
          <w:tcPr>
            <w:tcW w:w="1320" w:type="dxa"/>
            <w:vAlign w:val="bottom"/>
            <w:gridSpan w:val="3"/>
          </w:tcPr>
          <w:p>
            <w:pPr>
              <w:jc w:val="center"/>
              <w:ind w:right="260"/>
              <w:spacing w:after="0"/>
              <w:rPr>
                <w:sz w:val="20"/>
                <w:szCs w:val="20"/>
                <w:color w:val="auto"/>
              </w:rPr>
            </w:pPr>
            <w:r>
              <w:rPr>
                <w:rFonts w:ascii="Arial" w:cs="Arial" w:eastAsia="Arial" w:hAnsi="Arial"/>
                <w:sz w:val="16"/>
                <w:szCs w:val="16"/>
                <w:color w:val="auto"/>
                <w:w w:val="87"/>
              </w:rPr>
              <w:t>15 years</w:t>
            </w:r>
          </w:p>
        </w:tc>
        <w:tc>
          <w:tcPr>
            <w:tcW w:w="1220" w:type="dxa"/>
            <w:vAlign w:val="bottom"/>
          </w:tcPr>
          <w:p>
            <w:pPr>
              <w:jc w:val="right"/>
              <w:spacing w:after="0"/>
              <w:rPr>
                <w:sz w:val="20"/>
                <w:szCs w:val="20"/>
                <w:color w:val="auto"/>
              </w:rPr>
            </w:pPr>
            <w:r>
              <w:rPr>
                <w:rFonts w:ascii="Arial" w:cs="Arial" w:eastAsia="Arial" w:hAnsi="Arial"/>
                <w:sz w:val="16"/>
                <w:szCs w:val="16"/>
                <w:color w:val="auto"/>
              </w:rPr>
              <w:t>59,000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50,618</w:t>
            </w:r>
          </w:p>
        </w:tc>
      </w:tr>
      <w:tr>
        <w:trPr>
          <w:trHeight w:val="33"/>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Proprietary recipes and formulas</w:t>
            </w:r>
          </w:p>
        </w:tc>
        <w:tc>
          <w:tcPr>
            <w:tcW w:w="132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6"/>
                <w:szCs w:val="16"/>
                <w:color w:val="auto"/>
                <w:w w:val="87"/>
              </w:rPr>
              <w:t>7 years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4,869</w:t>
            </w:r>
          </w:p>
        </w:tc>
      </w:tr>
      <w:tr>
        <w:trPr>
          <w:trHeight w:val="237"/>
        </w:trPr>
        <w:tc>
          <w:tcPr>
            <w:tcW w:w="4440" w:type="dxa"/>
            <w:vAlign w:val="bottom"/>
            <w:gridSpan w:val="2"/>
          </w:tcPr>
          <w:p>
            <w:pPr>
              <w:ind w:left="360"/>
              <w:spacing w:after="0"/>
              <w:rPr>
                <w:sz w:val="20"/>
                <w:szCs w:val="20"/>
                <w:color w:val="auto"/>
              </w:rPr>
            </w:pPr>
            <w:r>
              <w:rPr>
                <w:rFonts w:ascii="Arial" w:cs="Arial" w:eastAsia="Arial" w:hAnsi="Arial"/>
                <w:sz w:val="16"/>
                <w:szCs w:val="16"/>
                <w:color w:val="auto"/>
              </w:rPr>
              <w:t>Licensing agreements</w:t>
            </w:r>
          </w:p>
        </w:tc>
        <w:tc>
          <w:tcPr>
            <w:tcW w:w="1320" w:type="dxa"/>
            <w:vAlign w:val="bottom"/>
            <w:gridSpan w:val="3"/>
          </w:tcPr>
          <w:p>
            <w:pPr>
              <w:jc w:val="center"/>
              <w:ind w:right="260"/>
              <w:spacing w:after="0"/>
              <w:rPr>
                <w:sz w:val="20"/>
                <w:szCs w:val="20"/>
                <w:color w:val="auto"/>
              </w:rPr>
            </w:pPr>
            <w:r>
              <w:rPr>
                <w:rFonts w:ascii="Arial" w:cs="Arial" w:eastAsia="Arial" w:hAnsi="Arial"/>
                <w:sz w:val="16"/>
                <w:szCs w:val="16"/>
                <w:color w:val="auto"/>
                <w:w w:val="87"/>
              </w:rPr>
              <w:t>14 years</w:t>
            </w:r>
          </w:p>
        </w:tc>
        <w:tc>
          <w:tcPr>
            <w:tcW w:w="1220" w:type="dxa"/>
            <w:vAlign w:val="bottom"/>
          </w:tcPr>
          <w:p>
            <w:pPr>
              <w:jc w:val="right"/>
              <w:spacing w:after="0"/>
              <w:rPr>
                <w:sz w:val="20"/>
                <w:szCs w:val="20"/>
                <w:color w:val="auto"/>
              </w:rPr>
            </w:pPr>
            <w:r>
              <w:rPr>
                <w:rFonts w:ascii="Arial" w:cs="Arial" w:eastAsia="Arial" w:hAnsi="Arial"/>
                <w:sz w:val="16"/>
                <w:szCs w:val="16"/>
                <w:color w:val="auto"/>
              </w:rPr>
              <w:t>22,000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18,652</w:t>
            </w:r>
          </w:p>
        </w:tc>
      </w:tr>
      <w:tr>
        <w:trPr>
          <w:trHeight w:val="33"/>
        </w:trPr>
        <w:tc>
          <w:tcPr>
            <w:tcW w:w="4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4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306,139</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Intangible assets, net </w:t>
      </w:r>
      <w:r>
        <w:rPr>
          <w:rFonts w:ascii="Arial" w:cs="Arial" w:eastAsia="Arial" w:hAnsi="Arial"/>
          <w:sz w:val="18"/>
          <w:szCs w:val="18"/>
          <w:color w:val="auto"/>
        </w:rPr>
        <w:t>changed due to amortization expense and the Acquisition of Quest. Amortization expense related to intangible assets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November 30, 2019 and November 24, 2018 were $2.3 million and $1.6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future amortization for each of the next five fiscal years and thereafter is as follows:</w:t>
      </w:r>
    </w:p>
    <w:p>
      <w:pPr>
        <w:spacing w:after="0" w:line="234" w:lineRule="exact"/>
        <w:rPr>
          <w:sz w:val="20"/>
          <w:szCs w:val="20"/>
          <w:color w:val="auto"/>
        </w:rPr>
      </w:pPr>
    </w:p>
    <w:tbl>
      <w:tblPr>
        <w:tblLayout w:type="fixed"/>
        <w:tblInd w:w="2940" w:type="dxa"/>
        <w:tblCellMar>
          <w:top w:w="0" w:type="dxa"/>
          <w:left w:w="0" w:type="dxa"/>
          <w:bottom w:w="0" w:type="dxa"/>
          <w:right w:w="0" w:type="dxa"/>
        </w:tblCellMar>
      </w:tblPr>
      <w:tr>
        <w:trPr>
          <w:trHeight w:val="18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 by fiscal year)</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36"/>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Remainder of 2020</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11,683</w:t>
            </w:r>
          </w:p>
        </w:tc>
      </w:tr>
      <w:tr>
        <w:trPr>
          <w:trHeight w:val="237"/>
        </w:trPr>
        <w:tc>
          <w:tcPr>
            <w:tcW w:w="400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15,327</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15,094</w:t>
            </w:r>
          </w:p>
        </w:tc>
      </w:tr>
      <w:tr>
        <w:trPr>
          <w:trHeight w:val="237"/>
        </w:trPr>
        <w:tc>
          <w:tcPr>
            <w:tcW w:w="400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14,829</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14,333</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2025 and thereafter</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119,891</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191,157</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 and Line of Credit</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July 7, 2017, the Company entered into a credit agreement with Barclays Bank PLC and other parties (as amended to date, the “Credit Agreement”). The Credit Agreement provides for (i) a term facility of $200.0 million (“Term Facility”) with a seven year maturity and (ii) a revolving credit facility of up to $75.0 million (the “Revolving Credit Facility”) with a five year maturity. Substantially concurrent with the consummation of the Acquisition of Atkins, the full $200.0 million of the Term Facility (the “Term Loan”) was drawn. The interest rate per annum was based on either (i) a base rate equaling the higher of (a) the “prime rate”, (b) the federal funds effective rate plus 0.50% and (c) the Euro-currency rate applicable for an interest period of one month plus 1.00% plus (x) 3.00% margin for the Term Loan or (y) 2.00% margin for the Revolving Credit Facility, or (ii) London Interbank Offered Rate (“LIBOR”) adjusted for statutory reserve requirements, plus (x) 4.00% margin for the Term Loan subject to a floor of 1.00% or (y) 3.00% margin for the Revolving Credit Facility. As security for the payment or performance of its debt, the Company has pledged certain equity interests in its subsidiaries.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16, 2018 (the “Amendment Date”), the Company entered into an amendment (the “Repricing Amendment”) to the Credit Agreement. As a result of the Repricing Amendment, the interest rate on the Term Loan was reduced and, as of the Amendment Date, such loans had an interest rate equal to, at the Company’s option, either LIBOR plus an applicable margin of 3.50% or a base rate plus an applicable margin of 2.50%. The Repricing Amendment did not change the interest rate on the Revolving Credit Facility. The Revolving Credit Facility continued to bear interest based upon the Company's consolidated net leverage ratio as of the last financial statements delivered to the administrative agent. No additional debt was incurred, or any proceeds received, by the Company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7, 2019, the Company entered into an amendment (the “Incremental Facility Amendment”) to the Credit Agreement to increase the principal borrowed on the Term Facility by $460.0 million. The Term Facility together with the incremental borrowing make up the Initial Term Loans and as of the Amendment No. 2 Effective Date (as defined in the Incremental Facility Amendment), the term loan bears interest at a rate equal to, at the Company's option, either LIBOR plus an applicable margin of 3.75% or a base rate plus an applicable margin of 2.75%. The Incremental Facility Amendment was executed to finance the Acquisition of Quest. No amounts under the Term Facility were repaid as a result of the execution of the Incremental Facility Amendment.</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6.25:1.00 (with a reduction to 6.00:1.00 on and after the third anniversary of the closing date of the Credit Agreement) contingent on credit extensions in excess of 30% of the total amount of commitments available under the Revolving Credit Facility. Any failure to comply with the restrictions of the Credit Agreement may result in an event of default. The Company was in compliance with all financial covenants under the Credit Agreement as of November 30, 2019 and August 31, 2019.</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November 30, 2019 and August 31, 2019, there were no cash amounts drawn against the Revolving Credit Facility. Long-term debt consists of the following:</w:t>
      </w:r>
    </w:p>
    <w:p>
      <w:pPr>
        <w:spacing w:after="0" w:line="121" w:lineRule="exact"/>
        <w:rPr>
          <w:sz w:val="20"/>
          <w:szCs w:val="20"/>
          <w:color w:val="auto"/>
        </w:rPr>
      </w:pPr>
    </w:p>
    <w:tbl>
      <w:tblPr>
        <w:tblLayout w:type="fixed"/>
        <w:tblInd w:w="720" w:type="dxa"/>
        <w:tblCellMar>
          <w:top w:w="0" w:type="dxa"/>
          <w:left w:w="0" w:type="dxa"/>
          <w:bottom w:w="0" w:type="dxa"/>
          <w:right w:w="0" w:type="dxa"/>
        </w:tblCellMar>
      </w:tblPr>
      <w:tr>
        <w:trPr>
          <w:trHeight w:val="247"/>
        </w:trPr>
        <w:tc>
          <w:tcPr>
            <w:tcW w:w="69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gridSpan w:val="3"/>
          </w:tcPr>
          <w:p>
            <w:pPr>
              <w:ind w:left="80"/>
              <w:spacing w:after="0"/>
              <w:rPr>
                <w:sz w:val="20"/>
                <w:szCs w:val="20"/>
                <w:color w:val="auto"/>
              </w:rPr>
            </w:pPr>
            <w:r>
              <w:rPr>
                <w:rFonts w:ascii="Arial" w:cs="Arial" w:eastAsia="Arial" w:hAnsi="Arial"/>
                <w:sz w:val="16"/>
                <w:szCs w:val="16"/>
                <w:color w:val="auto"/>
              </w:rPr>
              <w:t>November 30, 2019</w:t>
            </w:r>
          </w:p>
        </w:tc>
        <w:tc>
          <w:tcPr>
            <w:tcW w:w="180" w:type="dxa"/>
            <w:vAlign w:val="bottom"/>
          </w:tcPr>
          <w:p>
            <w:pPr>
              <w:spacing w:after="0"/>
              <w:rPr>
                <w:sz w:val="21"/>
                <w:szCs w:val="21"/>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w w:val="90"/>
              </w:rPr>
              <w:t>August 31, 2019</w:t>
            </w:r>
          </w:p>
        </w:tc>
      </w:tr>
      <w:tr>
        <w:trPr>
          <w:trHeight w:val="236"/>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 (effective rate of 5.7% at November 30, 2019)</w:t>
            </w:r>
          </w:p>
        </w:tc>
        <w:tc>
          <w:tcPr>
            <w:tcW w:w="52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655,500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196,500</w:t>
            </w: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Finance lease liabilities (effective rate of 5.6% at November 30, 2019)</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Deferred financing fees</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5,565</w:t>
            </w:r>
          </w:p>
        </w:tc>
      </w:tr>
      <w:tr>
        <w:trPr>
          <w:trHeight w:val="217"/>
        </w:trPr>
        <w:tc>
          <w:tcPr>
            <w:tcW w:w="696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643,325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190,935</w:t>
            </w:r>
          </w:p>
        </w:tc>
      </w:tr>
      <w:tr>
        <w:trPr>
          <w:trHeight w:val="33"/>
        </w:trPr>
        <w:tc>
          <w:tcPr>
            <w:tcW w:w="6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Less: Current maturities, net of deferred financing fees of $0.0 million at November 30, 2019 and $1.3</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million at August 31, 2019</w:t>
            </w: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Current finance lease liabilities</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9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 of deferred financing fees</w:t>
            </w:r>
          </w:p>
        </w:tc>
        <w:tc>
          <w:tcPr>
            <w:tcW w:w="5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190,259</w:t>
            </w:r>
          </w:p>
        </w:tc>
      </w:tr>
      <w:tr>
        <w:trPr>
          <w:trHeight w:val="20"/>
        </w:trPr>
        <w:tc>
          <w:tcPr>
            <w:tcW w:w="6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will be required to make principal payments of approximately $5.0 million over the next twelve months following the period ended November 30, 2019.</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November 30, 2019, the Company had letters of credit in the amount of $5.0 million. Our letters of credit offset against the availability of the Revolving Credit Facility. These letters of credit exist to support two of the Company's leased buildings and insurance programs relating to workers' compensation. No amounts were drawn against these letters of credit at November 30, 2019.</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carries debt at historical cost and discloses fair value. As of November 30, 2019 and August 31, 2019, the book value of the Company’s debt approximated fair value. The estimated fair value of the Term Loan is based on observable inputs and classified as Level 2 in the fair value hierarchy.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quoted prices for identical assets and liabilities in active markets.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A loss of $0.5 million was charged to the </w:t>
      </w:r>
      <w:r>
        <w:rPr>
          <w:rFonts w:ascii="Arial" w:cs="Arial" w:eastAsia="Arial" w:hAnsi="Arial"/>
          <w:sz w:val="17"/>
          <w:szCs w:val="17"/>
          <w:i w:val="1"/>
          <w:iCs w:val="1"/>
          <w:color w:val="auto"/>
        </w:rPr>
        <w:t>Loss in fair value change of contingent consideration - TRA liability</w:t>
      </w:r>
      <w:r>
        <w:rPr>
          <w:rFonts w:ascii="Arial" w:cs="Arial" w:eastAsia="Arial" w:hAnsi="Arial"/>
          <w:sz w:val="17"/>
          <w:szCs w:val="17"/>
          <w:color w:val="auto"/>
        </w:rPr>
        <w:t xml:space="preserve"> for the thirteen weeks ended November 24, 2018. The Company settled the Income Tax Receivable Agreement (the “TRA”) during the thirteen weeks ended November 24, 2018, which resulted in a $1.5 million gain. Following the settlement of the TRA liability, the Company did not have any Level 3 financial assets or liabilities.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amounts of cash and cash equivalents, accounts receivable and accounts payable approximated fair value as of November 30, 2019 and August 31, 2019 due to the relatively short maturity of these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shows the tax expense and the effective tax rate for the thirteen weeks ended November 30, 2019 and November 24, 2018 resulting from operations:</w:t>
      </w:r>
    </w:p>
    <w:p>
      <w:pPr>
        <w:spacing w:after="0" w:line="134"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6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Thirteen Weeks Ended</w:t>
            </w:r>
          </w:p>
        </w:tc>
        <w:tc>
          <w:tcPr>
            <w:tcW w:w="700" w:type="dxa"/>
            <w:vAlign w:val="bottom"/>
          </w:tcPr>
          <w:p>
            <w:pPr>
              <w:spacing w:after="0"/>
              <w:rPr>
                <w:sz w:val="17"/>
                <w:szCs w:val="17"/>
                <w:color w:val="auto"/>
              </w:rPr>
            </w:pPr>
          </w:p>
        </w:tc>
      </w:tr>
      <w:tr>
        <w:trPr>
          <w:trHeight w:val="33"/>
        </w:trPr>
        <w:tc>
          <w:tcPr>
            <w:tcW w:w="698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58"/>
        </w:trPr>
        <w:tc>
          <w:tcPr>
            <w:tcW w:w="6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gridSpan w:val="3"/>
          </w:tcPr>
          <w:p>
            <w:pPr>
              <w:ind w:left="80"/>
              <w:spacing w:after="0"/>
              <w:rPr>
                <w:sz w:val="20"/>
                <w:szCs w:val="20"/>
                <w:color w:val="auto"/>
              </w:rPr>
            </w:pPr>
            <w:r>
              <w:rPr>
                <w:rFonts w:ascii="Arial" w:cs="Arial" w:eastAsia="Arial" w:hAnsi="Arial"/>
                <w:sz w:val="16"/>
                <w:szCs w:val="16"/>
                <w:color w:val="auto"/>
              </w:rPr>
              <w:t>November 30, 2019</w:t>
            </w:r>
          </w:p>
        </w:tc>
        <w:tc>
          <w:tcPr>
            <w:tcW w:w="1460" w:type="dxa"/>
            <w:vAlign w:val="bottom"/>
            <w:gridSpan w:val="2"/>
          </w:tcPr>
          <w:p>
            <w:pPr>
              <w:jc w:val="right"/>
              <w:ind w:right="19"/>
              <w:spacing w:after="0"/>
              <w:rPr>
                <w:sz w:val="20"/>
                <w:szCs w:val="20"/>
                <w:color w:val="auto"/>
              </w:rPr>
            </w:pPr>
            <w:r>
              <w:rPr>
                <w:rFonts w:ascii="Arial" w:cs="Arial" w:eastAsia="Arial" w:hAnsi="Arial"/>
                <w:sz w:val="16"/>
                <w:szCs w:val="16"/>
                <w:color w:val="auto"/>
                <w:w w:val="95"/>
              </w:rPr>
              <w:t>November 24, 2018</w:t>
            </w:r>
          </w:p>
        </w:tc>
      </w:tr>
      <w:tr>
        <w:trPr>
          <w:trHeight w:val="236"/>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44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19,882</w:t>
            </w:r>
          </w:p>
        </w:tc>
      </w:tr>
      <w:tr>
        <w:trPr>
          <w:trHeight w:val="237"/>
        </w:trPr>
        <w:tc>
          <w:tcPr>
            <w:tcW w:w="698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(1,729)</w:t>
            </w:r>
          </w:p>
        </w:tc>
        <w:tc>
          <w:tcPr>
            <w:tcW w:w="120" w:type="dxa"/>
            <w:vAlign w:val="bottom"/>
          </w:tcPr>
          <w:p>
            <w:pPr>
              <w:spacing w:after="0"/>
              <w:rPr>
                <w:sz w:val="20"/>
                <w:szCs w:val="20"/>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4,625</w:t>
            </w:r>
          </w:p>
        </w:tc>
      </w:tr>
      <w:tr>
        <w:trPr>
          <w:trHeight w:val="33"/>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33"/>
        </w:trPr>
        <w:tc>
          <w:tcPr>
            <w:tcW w:w="69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effective tax rate for the thirteen week period ended November 30, 2019 is higher than the effective tax rate for the thirteen week period ended November 24, 2018 by 3.2%, which is primarily driven by non-deductible transaction costs, the one-time tax impact of the settlement of the TRA liability during the thirteen week period ended November 24, 2018, and other permanent differences.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1, 2019, we adopted ASU No. 2016-02, Leases (“Topic 842”) using the modified retrospective approach under ASU No. 2018-11, which permits application of the new guidance at the beginning of the period of adoption, with comparative periods continuing to be reported under Topic 840.</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Leases are classified as either finance leases or operating leases based on criteria in ASC 842. The Company’s operating leases are generally comprised of real estate and certain equipment used in warehousing our products. The Company’s finance leases are generally comprised of warehouse equipment.</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Right-of-use assets and lease liabilities are recognized at the lease commencement date based on the present value of lease payments over the lease term. The majority of the Company's leases do not provide an implicit rate; therefore, the Company uses its secured incremental borrowing rate based on the information available at the lease commencement date in determining the present value of future payments for those leases. Our incremental borrowing rate for a lease is the rate of interest we would pay to borrow on a collateralized basis over a similar term to the lease in a similar economic environment. The Company applied incremental borrowing rates using a portfolio approach. Right-of-use assets also include any lease payments made and exclude lease incentives. Lease terms may include options to extend or terminate the</w:t>
      </w:r>
    </w:p>
    <w:p>
      <w:pPr>
        <w:sectPr>
          <w:pgSz w:w="11900" w:h="16838" w:orient="portrait"/>
          <w:cols w:equalWidth="0" w:num="1">
            <w:col w:w="11420"/>
          </w:cols>
          <w:pgMar w:left="240" w:top="125"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lease when it is reasonably certain that the Company will exercise that option. The Company has elected not to recognize right-of-use assets and lease liabilities for short-term operating leases that have a term of 1 year or less.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w w:val="95"/>
              </w:rPr>
              <w:t>Thirteen Weeks Ended</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(in thousands)</w:t>
            </w: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Statement of Operations Caption</w:t>
            </w:r>
          </w:p>
        </w:tc>
        <w:tc>
          <w:tcPr>
            <w:tcW w:w="12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w w:val="92"/>
              </w:rPr>
              <w:t>November 30, 2019</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6"/>
                <w:szCs w:val="16"/>
                <w:color w:val="auto"/>
              </w:rPr>
              <w:t>Lease cost</w:t>
            </w: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Cost of goods sold and General and administrative</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tcPr>
          <w:p>
            <w:pPr>
              <w:spacing w:after="0"/>
              <w:rPr>
                <w:sz w:val="23"/>
                <w:szCs w:val="23"/>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(1)</w:t>
            </w: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 and General and administrative</w:t>
            </w:r>
          </w:p>
        </w:tc>
        <w:tc>
          <w:tcPr>
            <w:tcW w:w="1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3620" w:type="dxa"/>
            <w:vAlign w:val="bottom"/>
            <w:gridSpan w:val="2"/>
          </w:tcPr>
          <w:p>
            <w:pPr>
              <w:ind w:left="260"/>
              <w:spacing w:after="0"/>
              <w:rPr>
                <w:sz w:val="20"/>
                <w:szCs w:val="20"/>
                <w:color w:val="auto"/>
              </w:rPr>
            </w:pPr>
            <w:r>
              <w:rPr>
                <w:rFonts w:ascii="Arial" w:cs="Arial" w:eastAsia="Arial" w:hAnsi="Arial"/>
                <w:sz w:val="16"/>
                <w:szCs w:val="16"/>
                <w:color w:val="auto"/>
              </w:rPr>
              <w:t>Operating lease cost</w:t>
            </w: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0" w:type="dxa"/>
            <w:vAlign w:val="bottom"/>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Short term lease cost</w:t>
            </w: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0" w:type="dxa"/>
            <w:vAlign w:val="bottom"/>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Finance lease cost:</w:t>
            </w: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Amortization of right-of use assets</w:t>
            </w: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6"/>
                <w:szCs w:val="16"/>
                <w:color w:val="auto"/>
              </w:rPr>
              <w:t>Interest on lease liabilities</w:t>
            </w: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6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finance lease cost</w:t>
            </w:r>
          </w:p>
        </w:tc>
        <w:tc>
          <w:tcPr>
            <w:tcW w:w="4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97"/>
        </w:trPr>
        <w:tc>
          <w:tcPr>
            <w:tcW w:w="700" w:type="dxa"/>
            <w:vAlign w:val="bottom"/>
          </w:tcPr>
          <w:p>
            <w:pPr>
              <w:spacing w:after="0"/>
              <w:rPr>
                <w:sz w:val="24"/>
                <w:szCs w:val="24"/>
                <w:color w:val="auto"/>
              </w:rPr>
            </w:pPr>
          </w:p>
        </w:tc>
        <w:tc>
          <w:tcPr>
            <w:tcW w:w="3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0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lease cost</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0"/>
        </w:trPr>
        <w:tc>
          <w:tcPr>
            <w:tcW w:w="9140" w:type="dxa"/>
            <w:vAlign w:val="bottom"/>
            <w:gridSpan w:val="5"/>
            <w:vMerge w:val="restart"/>
          </w:tcPr>
          <w:p>
            <w:pPr>
              <w:spacing w:after="0"/>
              <w:rPr>
                <w:sz w:val="20"/>
                <w:szCs w:val="20"/>
                <w:color w:val="auto"/>
              </w:rPr>
            </w:pPr>
            <w:r>
              <w:rPr>
                <w:rFonts w:ascii="Arial" w:cs="Arial" w:eastAsia="Arial" w:hAnsi="Arial"/>
                <w:sz w:val="16"/>
                <w:szCs w:val="16"/>
                <w:color w:val="auto"/>
              </w:rPr>
              <w:t>(1) Variable lease cost primarily consists of common area maintenance, such as cleaning and repairs.</w:t>
            </w: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1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9140" w:type="dxa"/>
            <w:vAlign w:val="bottom"/>
            <w:gridSpan w:val="5"/>
          </w:tcPr>
          <w:p>
            <w:pPr>
              <w:ind w:left="660"/>
              <w:spacing w:after="0"/>
              <w:rPr>
                <w:sz w:val="20"/>
                <w:szCs w:val="20"/>
                <w:color w:val="auto"/>
              </w:rPr>
            </w:pPr>
            <w:r>
              <w:rPr>
                <w:rFonts w:ascii="Arial" w:cs="Arial" w:eastAsia="Arial" w:hAnsi="Arial"/>
                <w:sz w:val="18"/>
                <w:szCs w:val="18"/>
                <w:color w:val="auto"/>
              </w:rPr>
              <w:t>The gross amounts of assets and liabilities related to both operating and finance leases are as follows: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00" w:type="dxa"/>
            <w:vAlign w:val="bottom"/>
          </w:tcPr>
          <w:p>
            <w:pPr>
              <w:spacing w:after="0"/>
              <w:rPr>
                <w:sz w:val="24"/>
                <w:szCs w:val="24"/>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(in thousands)</w:t>
            </w: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Balance Sheet Caption</w:t>
            </w:r>
          </w:p>
        </w:tc>
        <w:tc>
          <w:tcPr>
            <w:tcW w:w="120" w:type="dxa"/>
            <w:vAlign w:val="bottom"/>
          </w:tcPr>
          <w:p>
            <w:pPr>
              <w:spacing w:after="0"/>
              <w:rPr>
                <w:sz w:val="24"/>
                <w:szCs w:val="24"/>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w w:val="92"/>
              </w:rPr>
              <w:t>November 30, 2019</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Operating lease right of use assets</w:t>
            </w: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Other long-term assets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25,895</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3620" w:type="dxa"/>
            <w:vAlign w:val="bottom"/>
            <w:gridSpan w:val="2"/>
          </w:tcPr>
          <w:p>
            <w:pPr>
              <w:spacing w:after="0"/>
              <w:rPr>
                <w:sz w:val="2"/>
                <w:szCs w:val="2"/>
                <w:color w:val="auto"/>
              </w:rPr>
            </w:pPr>
          </w:p>
        </w:tc>
        <w:tc>
          <w:tcPr>
            <w:tcW w:w="4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tcPr>
          <w:p>
            <w:pPr>
              <w:spacing w:after="0"/>
              <w:rPr>
                <w:sz w:val="23"/>
                <w:szCs w:val="23"/>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Finance lease right of use assets</w:t>
            </w: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84"/>
        </w:trPr>
        <w:tc>
          <w:tcPr>
            <w:tcW w:w="700" w:type="dxa"/>
            <w:vAlign w:val="bottom"/>
          </w:tcPr>
          <w:p>
            <w:pPr>
              <w:spacing w:after="0"/>
              <w:rPr>
                <w:sz w:val="24"/>
                <w:szCs w:val="24"/>
                <w:color w:val="auto"/>
              </w:rPr>
            </w:pPr>
          </w:p>
        </w:tc>
        <w:tc>
          <w:tcPr>
            <w:tcW w:w="362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Total lease assets</w:t>
            </w:r>
          </w:p>
        </w:tc>
        <w:tc>
          <w:tcPr>
            <w:tcW w:w="4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27,106</w:t>
            </w:r>
          </w:p>
        </w:tc>
        <w:tc>
          <w:tcPr>
            <w:tcW w:w="0" w:type="dxa"/>
            <w:vAlign w:val="bottom"/>
          </w:tcPr>
          <w:p>
            <w:pPr>
              <w:spacing w:after="0"/>
              <w:rPr>
                <w:sz w:val="1"/>
                <w:szCs w:val="1"/>
                <w:color w:val="auto"/>
              </w:rPr>
            </w:pPr>
          </w:p>
        </w:tc>
      </w:tr>
      <w:tr>
        <w:trPr>
          <w:trHeight w:val="284"/>
        </w:trPr>
        <w:tc>
          <w:tcPr>
            <w:tcW w:w="700" w:type="dxa"/>
            <w:vAlign w:val="bottom"/>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3620" w:type="dxa"/>
            <w:vAlign w:val="bottom"/>
            <w:gridSpan w:val="2"/>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6"/>
                <w:szCs w:val="16"/>
                <w:color w:val="auto"/>
              </w:rPr>
              <w:t>Operating lease liabilities</w:t>
            </w: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4,283</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3620" w:type="dxa"/>
            <w:vAlign w:val="bottom"/>
            <w:gridSpan w:val="2"/>
          </w:tcPr>
          <w:p>
            <w:pPr>
              <w:spacing w:after="0"/>
              <w:rPr>
                <w:sz w:val="2"/>
                <w:szCs w:val="2"/>
                <w:color w:val="auto"/>
              </w:rPr>
            </w:pPr>
          </w:p>
        </w:tc>
        <w:tc>
          <w:tcPr>
            <w:tcW w:w="4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Finance lease liabilities</w:t>
            </w: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Current maturities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Long-term:</w:t>
            </w: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3620" w:type="dxa"/>
            <w:vAlign w:val="bottom"/>
            <w:gridSpan w:val="2"/>
          </w:tcPr>
          <w:p>
            <w:pPr>
              <w:spacing w:after="0"/>
              <w:rPr>
                <w:sz w:val="2"/>
                <w:szCs w:val="2"/>
                <w:color w:val="auto"/>
              </w:rPr>
            </w:pPr>
          </w:p>
        </w:tc>
        <w:tc>
          <w:tcPr>
            <w:tcW w:w="4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Operating lease liabilities</w:t>
            </w: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22,084</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6"/>
                <w:szCs w:val="16"/>
                <w:color w:val="auto"/>
              </w:rPr>
              <w:t>Finance lease liabilities</w:t>
            </w: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Long-term debt, less current maturities</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3620" w:type="dxa"/>
            <w:vAlign w:val="bottom"/>
            <w:tcBorders>
              <w:bottom w:val="single" w:sz="8" w:color="CCEEFF"/>
            </w:tcBorders>
            <w:gridSpan w:val="2"/>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lease liabilities</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maturities of lease liabilities were as follows:</w:t>
      </w:r>
    </w:p>
    <w:p>
      <w:pPr>
        <w:spacing w:after="0" w:line="189" w:lineRule="exact"/>
        <w:rPr>
          <w:sz w:val="20"/>
          <w:szCs w:val="20"/>
          <w:color w:val="auto"/>
        </w:rPr>
      </w:pPr>
    </w:p>
    <w:tbl>
      <w:tblPr>
        <w:tblLayout w:type="fixed"/>
        <w:tblInd w:w="2480" w:type="dxa"/>
        <w:tblCellMar>
          <w:top w:w="0" w:type="dxa"/>
          <w:left w:w="0" w:type="dxa"/>
          <w:bottom w:w="0" w:type="dxa"/>
          <w:right w:w="0" w:type="dxa"/>
        </w:tblCellMar>
      </w:tblPr>
      <w:tr>
        <w:trPr>
          <w:trHeight w:val="206"/>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Operating Leases</w:t>
            </w:r>
          </w:p>
        </w:tc>
        <w:tc>
          <w:tcPr>
            <w:tcW w:w="180" w:type="dxa"/>
            <w:vAlign w:val="bottom"/>
          </w:tcPr>
          <w:p>
            <w:pPr>
              <w:spacing w:after="0"/>
              <w:rPr>
                <w:sz w:val="17"/>
                <w:szCs w:val="17"/>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w w:val="93"/>
              </w:rPr>
              <w:t>Finance Leases</w:t>
            </w:r>
          </w:p>
        </w:tc>
      </w:tr>
      <w:tr>
        <w:trPr>
          <w:trHeight w:val="33"/>
        </w:trPr>
        <w:tc>
          <w:tcPr>
            <w:tcW w:w="3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ending:</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3300" w:type="dxa"/>
            <w:vAlign w:val="bottom"/>
          </w:tcPr>
          <w:p>
            <w:pPr>
              <w:ind w:left="20"/>
              <w:spacing w:after="0"/>
              <w:rPr>
                <w:sz w:val="20"/>
                <w:szCs w:val="20"/>
                <w:color w:val="auto"/>
              </w:rPr>
            </w:pPr>
            <w:r>
              <w:rPr>
                <w:rFonts w:ascii="Arial" w:cs="Arial" w:eastAsia="Arial" w:hAnsi="Arial"/>
                <w:sz w:val="16"/>
                <w:szCs w:val="16"/>
                <w:color w:val="auto"/>
              </w:rPr>
              <w:t>Remainder of 2020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4,220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33"/>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37"/>
        </w:trPr>
        <w:tc>
          <w:tcPr>
            <w:tcW w:w="3300" w:type="dxa"/>
            <w:vAlign w:val="bottom"/>
          </w:tcPr>
          <w:p>
            <w:pPr>
              <w:ind w:left="2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33"/>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37"/>
        </w:trPr>
        <w:tc>
          <w:tcPr>
            <w:tcW w:w="3300" w:type="dxa"/>
            <w:vAlign w:val="bottom"/>
          </w:tcPr>
          <w:p>
            <w:pPr>
              <w:ind w:left="20"/>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33"/>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3300" w:type="dxa"/>
            <w:vAlign w:val="bottom"/>
          </w:tcPr>
          <w:p>
            <w:pPr>
              <w:ind w:left="20"/>
              <w:spacing w:after="0"/>
              <w:rPr>
                <w:sz w:val="20"/>
                <w:szCs w:val="20"/>
                <w:color w:val="auto"/>
              </w:rPr>
            </w:pPr>
            <w:r>
              <w:rPr>
                <w:rFonts w:ascii="Arial" w:cs="Arial" w:eastAsia="Arial" w:hAnsi="Arial"/>
                <w:sz w:val="16"/>
                <w:szCs w:val="16"/>
                <w:color w:val="auto"/>
              </w:rPr>
              <w:t>Total lease payments</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32,791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1,284</w:t>
            </w:r>
          </w:p>
        </w:tc>
      </w:tr>
      <w:tr>
        <w:trPr>
          <w:trHeight w:val="33"/>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44"/>
        </w:trPr>
        <w:tc>
          <w:tcPr>
            <w:tcW w:w="3300" w:type="dxa"/>
            <w:vAlign w:val="bottom"/>
          </w:tcPr>
          <w:p>
            <w:pPr>
              <w:ind w:left="20"/>
              <w:spacing w:after="0"/>
              <w:rPr>
                <w:sz w:val="20"/>
                <w:szCs w:val="20"/>
                <w:color w:val="auto"/>
              </w:rPr>
            </w:pPr>
            <w:r>
              <w:rPr>
                <w:rFonts w:ascii="Arial" w:cs="Arial" w:eastAsia="Arial" w:hAnsi="Arial"/>
                <w:sz w:val="16"/>
                <w:szCs w:val="16"/>
                <w:color w:val="auto"/>
              </w:rPr>
              <w:t>Present value of lease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26,367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1,149</w:t>
            </w:r>
          </w:p>
        </w:tc>
      </w:tr>
      <w:tr>
        <w:trPr>
          <w:trHeight w:val="20"/>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November 30, 2019, the Company did not have any significant additional operating or finance leases that have not yet commenced.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weighted-average remaining lease term and weighted-average discount rate for operating and finance leases at November 30, 2019 is as follows:</w:t>
      </w:r>
    </w:p>
    <w:p>
      <w:pPr>
        <w:spacing w:after="0" w:line="212"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6660" w:type="dxa"/>
            <w:vAlign w:val="bottom"/>
          </w:tcPr>
          <w:p>
            <w:pPr>
              <w:spacing w:after="0"/>
              <w:rPr>
                <w:sz w:val="17"/>
                <w:szCs w:val="17"/>
                <w:color w:val="auto"/>
              </w:rPr>
            </w:pPr>
          </w:p>
        </w:tc>
        <w:tc>
          <w:tcPr>
            <w:tcW w:w="1740" w:type="dxa"/>
            <w:vAlign w:val="bottom"/>
            <w:gridSpan w:val="2"/>
          </w:tcPr>
          <w:p>
            <w:pPr>
              <w:ind w:left="240"/>
              <w:spacing w:after="0"/>
              <w:rPr>
                <w:sz w:val="20"/>
                <w:szCs w:val="20"/>
                <w:color w:val="auto"/>
              </w:rPr>
            </w:pPr>
            <w:r>
              <w:rPr>
                <w:rFonts w:ascii="Arial" w:cs="Arial" w:eastAsia="Arial" w:hAnsi="Arial"/>
                <w:sz w:val="16"/>
                <w:szCs w:val="16"/>
                <w:color w:val="auto"/>
              </w:rPr>
              <w:t>Operating Leases</w:t>
            </w:r>
          </w:p>
        </w:tc>
        <w:tc>
          <w:tcPr>
            <w:tcW w:w="1640" w:type="dxa"/>
            <w:vAlign w:val="bottom"/>
          </w:tcPr>
          <w:p>
            <w:pPr>
              <w:ind w:left="320"/>
              <w:spacing w:after="0"/>
              <w:rPr>
                <w:sz w:val="20"/>
                <w:szCs w:val="20"/>
                <w:color w:val="auto"/>
              </w:rPr>
            </w:pPr>
            <w:r>
              <w:rPr>
                <w:rFonts w:ascii="Arial" w:cs="Arial" w:eastAsia="Arial" w:hAnsi="Arial"/>
                <w:sz w:val="16"/>
                <w:szCs w:val="16"/>
                <w:color w:val="auto"/>
              </w:rPr>
              <w:t>Finance Leases</w:t>
            </w:r>
          </w:p>
        </w:tc>
      </w:tr>
      <w:tr>
        <w:trPr>
          <w:trHeight w:val="33"/>
        </w:trPr>
        <w:tc>
          <w:tcPr>
            <w:tcW w:w="66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6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rPr>
              <w:t>4.4</w:t>
            </w:r>
          </w:p>
        </w:tc>
      </w:tr>
      <w:tr>
        <w:trPr>
          <w:trHeight w:val="237"/>
        </w:trPr>
        <w:tc>
          <w:tcPr>
            <w:tcW w:w="666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620" w:type="dxa"/>
            <w:vAlign w:val="bottom"/>
          </w:tcPr>
          <w:p>
            <w:pPr>
              <w:ind w:left="1260"/>
              <w:spacing w:after="0"/>
              <w:rPr>
                <w:sz w:val="20"/>
                <w:szCs w:val="20"/>
                <w:color w:val="auto"/>
              </w:rPr>
            </w:pPr>
            <w:r>
              <w:rPr>
                <w:rFonts w:ascii="Arial" w:cs="Arial" w:eastAsia="Arial" w:hAnsi="Arial"/>
                <w:sz w:val="16"/>
                <w:szCs w:val="16"/>
                <w:color w:val="auto"/>
                <w:w w:val="93"/>
              </w:rPr>
              <w:t>5.9%</w:t>
            </w:r>
          </w:p>
        </w:tc>
        <w:tc>
          <w:tcPr>
            <w:tcW w:w="120" w:type="dxa"/>
            <w:vAlign w:val="bottom"/>
          </w:tcPr>
          <w:p>
            <w:pPr>
              <w:spacing w:after="0"/>
              <w:rPr>
                <w:sz w:val="20"/>
                <w:szCs w:val="20"/>
                <w:color w:val="auto"/>
              </w:rPr>
            </w:pPr>
          </w:p>
        </w:tc>
        <w:tc>
          <w:tcPr>
            <w:tcW w:w="1640" w:type="dxa"/>
            <w:vAlign w:val="bottom"/>
          </w:tcPr>
          <w:p>
            <w:pPr>
              <w:ind w:left="1260"/>
              <w:spacing w:after="0"/>
              <w:rPr>
                <w:sz w:val="20"/>
                <w:szCs w:val="20"/>
                <w:color w:val="auto"/>
              </w:rPr>
            </w:pPr>
            <w:r>
              <w:rPr>
                <w:rFonts w:ascii="Arial" w:cs="Arial" w:eastAsia="Arial" w:hAnsi="Arial"/>
                <w:sz w:val="16"/>
                <w:szCs w:val="16"/>
                <w:color w:val="auto"/>
                <w:w w:val="98"/>
              </w:rPr>
              <w:t>5.6%</w:t>
            </w:r>
          </w:p>
        </w:tc>
      </w:tr>
    </w:tbl>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and other information related to leases was as follows:</w:t>
      </w:r>
    </w:p>
    <w:p>
      <w:pPr>
        <w:spacing w:after="0" w:line="189"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8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w w:val="93"/>
              </w:rPr>
              <w:t>Thirteen Weeks Ended</w:t>
            </w:r>
          </w:p>
        </w:tc>
      </w:tr>
      <w:tr>
        <w:trPr>
          <w:trHeight w:val="270"/>
        </w:trPr>
        <w:tc>
          <w:tcPr>
            <w:tcW w:w="8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w w:val="92"/>
              </w:rPr>
              <w:t>November 30, 2019</w:t>
            </w:r>
          </w:p>
        </w:tc>
      </w:tr>
      <w:tr>
        <w:trPr>
          <w:trHeight w:val="33"/>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gridSpan w:val="2"/>
          </w:tcPr>
          <w:p>
            <w:pPr>
              <w:ind w:left="160"/>
              <w:spacing w:after="0"/>
              <w:rPr>
                <w:sz w:val="20"/>
                <w:szCs w:val="20"/>
                <w:color w:val="auto"/>
              </w:rPr>
            </w:pPr>
            <w:r>
              <w:rPr>
                <w:rFonts w:ascii="Arial" w:cs="Arial" w:eastAsia="Arial" w:hAnsi="Arial"/>
                <w:sz w:val="16"/>
                <w:szCs w:val="16"/>
                <w:color w:val="auto"/>
              </w:rPr>
              <w:t>Operating cash flows from operating leases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1,170</w:t>
            </w: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Operating cash flows from finance leases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8440" w:type="dxa"/>
            <w:vAlign w:val="bottom"/>
            <w:gridSpan w:val="2"/>
          </w:tcPr>
          <w:p>
            <w:pPr>
              <w:ind w:left="160"/>
              <w:spacing w:after="0"/>
              <w:rPr>
                <w:sz w:val="20"/>
                <w:szCs w:val="20"/>
                <w:color w:val="auto"/>
              </w:rPr>
            </w:pPr>
            <w:r>
              <w:rPr>
                <w:rFonts w:ascii="Arial" w:cs="Arial" w:eastAsia="Arial" w:hAnsi="Arial"/>
                <w:sz w:val="16"/>
                <w:szCs w:val="16"/>
                <w:color w:val="auto"/>
              </w:rPr>
              <w:t>Financing cash flows from finance leases</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Comparative Information as Reported Under Previous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comparative information is reported based upon previous accounting standards in effect for the periods presented.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payments under lease arrangements with a remaining term in excess of one year were as follows as of August 31, 2019:</w:t>
      </w:r>
    </w:p>
    <w:p>
      <w:pPr>
        <w:spacing w:after="0" w:line="201" w:lineRule="exact"/>
        <w:rPr>
          <w:sz w:val="20"/>
          <w:szCs w:val="20"/>
          <w:color w:val="auto"/>
        </w:rPr>
      </w:pPr>
    </w:p>
    <w:tbl>
      <w:tblPr>
        <w:tblLayout w:type="fixed"/>
        <w:tblInd w:w="3240" w:type="dxa"/>
        <w:tblCellMar>
          <w:top w:w="0" w:type="dxa"/>
          <w:left w:w="0" w:type="dxa"/>
          <w:bottom w:w="0" w:type="dxa"/>
          <w:right w:w="0" w:type="dxa"/>
        </w:tblCellMar>
      </w:tblPr>
      <w:tr>
        <w:trPr>
          <w:trHeight w:val="206"/>
        </w:trPr>
        <w:tc>
          <w:tcPr>
            <w:tcW w:w="33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7"/>
                <w:szCs w:val="17"/>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w w:val="97"/>
              </w:rPr>
              <w:t>August 31, 2019</w:t>
            </w:r>
          </w:p>
        </w:tc>
      </w:tr>
      <w:tr>
        <w:trPr>
          <w:trHeight w:val="33"/>
        </w:trPr>
        <w:tc>
          <w:tcPr>
            <w:tcW w:w="3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2,546</w:t>
            </w:r>
          </w:p>
        </w:tc>
      </w:tr>
      <w:tr>
        <w:trPr>
          <w:trHeight w:val="237"/>
        </w:trPr>
        <w:tc>
          <w:tcPr>
            <w:tcW w:w="336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1,947</w:t>
            </w:r>
          </w:p>
        </w:tc>
      </w:tr>
      <w:tr>
        <w:trPr>
          <w:trHeight w:val="33"/>
        </w:trPr>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w:t>
            </w:r>
          </w:p>
        </w:tc>
      </w:tr>
      <w:tr>
        <w:trPr>
          <w:trHeight w:val="237"/>
        </w:trPr>
        <w:tc>
          <w:tcPr>
            <w:tcW w:w="336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1,093</w:t>
            </w:r>
          </w:p>
        </w:tc>
      </w:tr>
      <w:tr>
        <w:trPr>
          <w:trHeight w:val="33"/>
        </w:trPr>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37"/>
        </w:trPr>
        <w:tc>
          <w:tcPr>
            <w:tcW w:w="336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3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7,406</w:t>
            </w:r>
          </w:p>
        </w:tc>
      </w:tr>
      <w:tr>
        <w:trPr>
          <w:trHeight w:val="20"/>
        </w:trPr>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thirteen weeks ended November 24, 2018 rent expense for operating leases were $0.5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a party to certain litigation and claims that are considered normal to the operations of the business. 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of our business, operating result, financial condition or cash flows.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fifty-three week period ended August 31, 2019, the Company reserved $3.5 million for the potential settlement of class action litigation concerning certain product label claims. During the thirteen weeks ended November 30, 2019, the Company reserved an additional $0.3 million. The reserve is included within General and administrative in the Consolidated Statements of Operations and Comprehensive (Loss) Income and Accrued expenses and other current liabilities in the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entered into endorsement contracts with certain celebrity figures and social media influencers to promote and endorse the Atkins and Quest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November 30, 2019, the Company will be required to make payments of $2.7 million over the next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9, 2019, we completed an underwritten public offering of 13,379,205 shares of our common stock at a price to the public of $26.35 per share. The Company paid underwriting discounts and commissions of $0.19 per share resulting in net proceeds to us of $26.16 per share (the “Offering”), or approximately $350.0 million. The Company paid $0.8 million for legal, accounting and registrations fees related to the Offering. The net proceeds were used to pay a portion of the purchase price and related fees and expenses for the Acquisition of Quest.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the Acquisition of Atkins, Conyers Park issued 6,700,000 private placement warrants. Simply Good Foods assumed the Conyers Park equity warrants in connection with the Acquisition of Atkins. As a result of the Acquisition of Atkins, the warrants issued by Conyers Park were no longer exercisable for shares of Conyers Park common stock, but were instead exercisable for common stock of Simply Good Foods. All other features of the warrants were unchanged. The Company’s private warrants to purchase 6,700,000 shares of the Company’s common stock remain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November 13, 2018, the Company announced that its Board of Directors had adopted a $50.0 million stock repurchase program.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thirteen weeks ended November 30, 2019, the Company did not repurchase any shares of common stock. As of November 30, 2019, approximately $47.9 million remained available under the stock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Basic earnings per share is based on the weighted average number of common shares issued and outstanding. In periods in which the Company has net income, diluted earnings per share is based on the weighted average number of common shares issued and outstanding and the effect of all dilutive common stock equivalents outstanding during each period.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periods in which the Company has a net loss, diluted earnings per share is based on the weighted average number of common shares issued and outstanding. The effect of including common stock equivalents outstanding is considered anti-dilutive.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reconciles the numerators and denominators used in the computations of both basic and diluted earnings per share:</w:t>
      </w:r>
    </w:p>
    <w:p>
      <w:pPr>
        <w:spacing w:after="0" w:line="187" w:lineRule="exact"/>
        <w:rPr>
          <w:sz w:val="20"/>
          <w:szCs w:val="20"/>
          <w:color w:val="auto"/>
        </w:rPr>
      </w:pPr>
    </w:p>
    <w:p>
      <w:pPr>
        <w:ind w:left="8500"/>
        <w:spacing w:after="0"/>
        <w:rPr>
          <w:sz w:val="20"/>
          <w:szCs w:val="20"/>
          <w:color w:val="auto"/>
        </w:rPr>
      </w:pPr>
      <w:r>
        <w:rPr>
          <w:rFonts w:ascii="Arial" w:cs="Arial" w:eastAsia="Arial" w:hAnsi="Arial"/>
          <w:sz w:val="16"/>
          <w:szCs w:val="16"/>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34925</wp:posOffset>
            </wp:positionV>
            <wp:extent cx="1903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0"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0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560" w:type="dxa"/>
            <w:vAlign w:val="bottom"/>
            <w:gridSpan w:val="3"/>
          </w:tcPr>
          <w:p>
            <w:pPr>
              <w:ind w:left="60"/>
              <w:spacing w:after="0"/>
              <w:rPr>
                <w:sz w:val="20"/>
                <w:szCs w:val="20"/>
                <w:color w:val="auto"/>
              </w:rPr>
            </w:pPr>
            <w:r>
              <w:rPr>
                <w:rFonts w:ascii="Arial" w:cs="Arial" w:eastAsia="Arial" w:hAnsi="Arial"/>
                <w:sz w:val="16"/>
                <w:szCs w:val="16"/>
                <w:color w:val="auto"/>
              </w:rPr>
              <w:t>November 30, 2019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w w:val="95"/>
              </w:rPr>
              <w:t>November 24, 2018</w:t>
            </w:r>
          </w:p>
        </w:tc>
      </w:tr>
      <w:tr>
        <w:trPr>
          <w:trHeight w:val="250"/>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 computation:</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020" w:type="dxa"/>
            <w:vAlign w:val="bottom"/>
          </w:tcPr>
          <w:p>
            <w:pPr>
              <w:ind w:left="260"/>
              <w:spacing w:after="0"/>
              <w:rPr>
                <w:sz w:val="20"/>
                <w:szCs w:val="20"/>
                <w:color w:val="auto"/>
              </w:rPr>
            </w:pPr>
            <w:r>
              <w:rPr>
                <w:rFonts w:ascii="Arial" w:cs="Arial" w:eastAsia="Arial" w:hAnsi="Arial"/>
                <w:sz w:val="16"/>
                <w:szCs w:val="16"/>
                <w:color w:val="auto"/>
              </w:rPr>
              <w:t>Numerator:</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7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(loss)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15,257</w:t>
            </w:r>
          </w:p>
        </w:tc>
      </w:tr>
      <w:tr>
        <w:trPr>
          <w:trHeight w:val="237"/>
        </w:trPr>
        <w:tc>
          <w:tcPr>
            <w:tcW w:w="7020" w:type="dxa"/>
            <w:vAlign w:val="bottom"/>
          </w:tcPr>
          <w:p>
            <w:pPr>
              <w:ind w:left="260"/>
              <w:spacing w:after="0"/>
              <w:rPr>
                <w:sz w:val="20"/>
                <w:szCs w:val="20"/>
                <w:color w:val="auto"/>
              </w:rPr>
            </w:pPr>
            <w:r>
              <w:rPr>
                <w:rFonts w:ascii="Arial" w:cs="Arial" w:eastAsia="Arial" w:hAnsi="Arial"/>
                <w:sz w:val="16"/>
                <w:szCs w:val="16"/>
                <w:color w:val="auto"/>
              </w:rPr>
              <w:t>Denominator:</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7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Weighted average common shares - basic</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89,708,633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77,290,307</w:t>
            </w:r>
          </w:p>
        </w:tc>
      </w:tr>
      <w:tr>
        <w:trPr>
          <w:trHeight w:val="290"/>
        </w:trPr>
        <w:tc>
          <w:tcPr>
            <w:tcW w:w="70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Basic earnings per share from net (loss) income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r>
      <w:tr>
        <w:trPr>
          <w:trHeight w:val="23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share computation:</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7"/>
        </w:trPr>
        <w:tc>
          <w:tcPr>
            <w:tcW w:w="7020" w:type="dxa"/>
            <w:vAlign w:val="bottom"/>
          </w:tcPr>
          <w:p>
            <w:pPr>
              <w:ind w:left="260"/>
              <w:spacing w:after="0"/>
              <w:rPr>
                <w:sz w:val="20"/>
                <w:szCs w:val="20"/>
                <w:color w:val="auto"/>
              </w:rPr>
            </w:pPr>
            <w:r>
              <w:rPr>
                <w:rFonts w:ascii="Arial" w:cs="Arial" w:eastAsia="Arial" w:hAnsi="Arial"/>
                <w:sz w:val="16"/>
                <w:szCs w:val="16"/>
                <w:color w:val="auto"/>
              </w:rPr>
              <w:t>Numerator:</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7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(loss)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15,257</w:t>
            </w:r>
          </w:p>
        </w:tc>
      </w:tr>
      <w:tr>
        <w:trPr>
          <w:trHeight w:val="237"/>
        </w:trPr>
        <w:tc>
          <w:tcPr>
            <w:tcW w:w="7020" w:type="dxa"/>
            <w:vAlign w:val="bottom"/>
          </w:tcPr>
          <w:p>
            <w:pPr>
              <w:ind w:left="260"/>
              <w:spacing w:after="0"/>
              <w:rPr>
                <w:sz w:val="20"/>
                <w:szCs w:val="20"/>
                <w:color w:val="auto"/>
              </w:rPr>
            </w:pPr>
            <w:r>
              <w:rPr>
                <w:rFonts w:ascii="Arial" w:cs="Arial" w:eastAsia="Arial" w:hAnsi="Arial"/>
                <w:sz w:val="16"/>
                <w:szCs w:val="16"/>
                <w:color w:val="auto"/>
              </w:rPr>
              <w:t>Denominator:</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7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Weighted average common shares outstanding - basic</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89,708,633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77,290,307</w:t>
            </w:r>
          </w:p>
        </w:tc>
      </w:tr>
      <w:tr>
        <w:trPr>
          <w:trHeight w:val="237"/>
        </w:trPr>
        <w:tc>
          <w:tcPr>
            <w:tcW w:w="7020" w:type="dxa"/>
            <w:vAlign w:val="bottom"/>
          </w:tcPr>
          <w:p>
            <w:pPr>
              <w:ind w:left="680"/>
              <w:spacing w:after="0"/>
              <w:rPr>
                <w:sz w:val="20"/>
                <w:szCs w:val="20"/>
                <w:color w:val="auto"/>
              </w:rPr>
            </w:pPr>
            <w:r>
              <w:rPr>
                <w:rFonts w:ascii="Arial" w:cs="Arial" w:eastAsia="Arial" w:hAnsi="Arial"/>
                <w:sz w:val="16"/>
                <w:szCs w:val="16"/>
                <w:color w:val="auto"/>
              </w:rPr>
              <w:t>Public and Private Warrants</w:t>
            </w:r>
          </w:p>
        </w:tc>
        <w:tc>
          <w:tcPr>
            <w:tcW w:w="3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4,892,604</w:t>
            </w:r>
          </w:p>
        </w:tc>
      </w:tr>
      <w:tr>
        <w:trPr>
          <w:trHeight w:val="33"/>
        </w:trPr>
        <w:tc>
          <w:tcPr>
            <w:tcW w:w="7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Employee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559,659</w:t>
            </w:r>
          </w:p>
        </w:tc>
      </w:tr>
      <w:tr>
        <w:trPr>
          <w:trHeight w:val="237"/>
        </w:trPr>
        <w:tc>
          <w:tcPr>
            <w:tcW w:w="7020" w:type="dxa"/>
            <w:vAlign w:val="bottom"/>
          </w:tcPr>
          <w:p>
            <w:pPr>
              <w:ind w:left="680"/>
              <w:spacing w:after="0"/>
              <w:rPr>
                <w:sz w:val="20"/>
                <w:szCs w:val="20"/>
                <w:color w:val="auto"/>
              </w:rPr>
            </w:pPr>
            <w:r>
              <w:rPr>
                <w:rFonts w:ascii="Arial" w:cs="Arial" w:eastAsia="Arial" w:hAnsi="Arial"/>
                <w:sz w:val="16"/>
                <w:szCs w:val="16"/>
                <w:color w:val="auto"/>
              </w:rPr>
              <w:t>Non-vested shares</w:t>
            </w:r>
          </w:p>
        </w:tc>
        <w:tc>
          <w:tcPr>
            <w:tcW w:w="3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32,191</w:t>
            </w:r>
          </w:p>
        </w:tc>
      </w:tr>
      <w:tr>
        <w:trPr>
          <w:trHeight w:val="33"/>
        </w:trPr>
        <w:tc>
          <w:tcPr>
            <w:tcW w:w="7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7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Weighted average common shares - diluted</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89,708,633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82,774,761</w:t>
            </w:r>
          </w:p>
        </w:tc>
      </w:tr>
      <w:tr>
        <w:trPr>
          <w:trHeight w:val="250"/>
        </w:trPr>
        <w:tc>
          <w:tcPr>
            <w:tcW w:w="7020" w:type="dxa"/>
            <w:vAlign w:val="bottom"/>
          </w:tcPr>
          <w:p>
            <w:pPr>
              <w:ind w:left="260"/>
              <w:spacing w:after="0"/>
              <w:rPr>
                <w:sz w:val="20"/>
                <w:szCs w:val="20"/>
                <w:color w:val="auto"/>
              </w:rPr>
            </w:pPr>
            <w:r>
              <w:rPr>
                <w:rFonts w:ascii="Arial" w:cs="Arial" w:eastAsia="Arial" w:hAnsi="Arial"/>
                <w:sz w:val="16"/>
                <w:szCs w:val="16"/>
                <w:color w:val="auto"/>
              </w:rPr>
              <w:t>Diluted earnings per share from net (loss) income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r>
      <w:tr>
        <w:trPr>
          <w:trHeight w:val="20"/>
        </w:trPr>
        <w:tc>
          <w:tcPr>
            <w:tcW w:w="7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Earnings per share calculations for the thirteen weeks ended November 30, 2019 and November 24, 2018 excluded 2.7 million and 0.2 million shares of stock options issuable upon exercise, respectively, that would have been anti-dilutive. Earnings per share calculations for the thirteen weeks ended November 30, 2019 excluded 0.3 million non-vested shares that would have been anti-dilutive. An immaterial number of non-vested shares were excluded from earnings per share calculations for the thirteen weeks ended November 24,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Plan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Stock-based compensation includes stock options, restricted stock unit,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expense, which is the same financial statement caption where the recipient’s other compensation is reported.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recorded $1.7 million and $1.1 million of stock-based compensation expense in the thirteen weeks ended November 30, 2019 and November 24,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thirteen weeks ended November 30, 2019:</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Weighted average</w:t>
            </w:r>
          </w:p>
        </w:tc>
      </w:tr>
      <w:tr>
        <w:trPr>
          <w:trHeight w:val="203"/>
        </w:trPr>
        <w:tc>
          <w:tcPr>
            <w:tcW w:w="5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Weighted average</w:t>
            </w:r>
          </w:p>
        </w:tc>
        <w:tc>
          <w:tcPr>
            <w:tcW w:w="1760" w:type="dxa"/>
            <w:vAlign w:val="bottom"/>
          </w:tcPr>
          <w:p>
            <w:pPr>
              <w:jc w:val="right"/>
              <w:spacing w:after="0"/>
              <w:rPr>
                <w:sz w:val="20"/>
                <w:szCs w:val="20"/>
                <w:color w:val="auto"/>
              </w:rPr>
            </w:pPr>
            <w:r>
              <w:rPr>
                <w:rFonts w:ascii="Arial" w:cs="Arial" w:eastAsia="Arial" w:hAnsi="Arial"/>
                <w:sz w:val="16"/>
                <w:szCs w:val="16"/>
                <w:color w:val="auto"/>
                <w:w w:val="95"/>
              </w:rPr>
              <w:t>remaining contractual life</w:t>
            </w:r>
          </w:p>
        </w:tc>
      </w:tr>
      <w:tr>
        <w:trPr>
          <w:trHeight w:val="206"/>
        </w:trPr>
        <w:tc>
          <w:tcPr>
            <w:tcW w:w="5180" w:type="dxa"/>
            <w:vAlign w:val="bottom"/>
          </w:tcPr>
          <w:p>
            <w:pPr>
              <w:spacing w:after="0"/>
              <w:rPr>
                <w:sz w:val="17"/>
                <w:szCs w:val="17"/>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exercise price</w:t>
            </w:r>
          </w:p>
        </w:tc>
        <w:tc>
          <w:tcPr>
            <w:tcW w:w="1760" w:type="dxa"/>
            <w:vAlign w:val="bottom"/>
          </w:tcPr>
          <w:p>
            <w:pPr>
              <w:jc w:val="right"/>
              <w:ind w:right="499"/>
              <w:spacing w:after="0"/>
              <w:rPr>
                <w:sz w:val="20"/>
                <w:szCs w:val="20"/>
                <w:color w:val="auto"/>
              </w:rPr>
            </w:pPr>
            <w:r>
              <w:rPr>
                <w:rFonts w:ascii="Arial" w:cs="Arial" w:eastAsia="Arial" w:hAnsi="Arial"/>
                <w:sz w:val="16"/>
                <w:szCs w:val="16"/>
                <w:color w:val="auto"/>
              </w:rPr>
              <w:t>(in years)</w:t>
            </w:r>
          </w:p>
        </w:tc>
      </w:tr>
      <w:tr>
        <w:trPr>
          <w:trHeight w:val="33"/>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August 31,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2,748,735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r>
      <w:tr>
        <w:trPr>
          <w:trHeight w:val="217"/>
        </w:trPr>
        <w:tc>
          <w:tcPr>
            <w:tcW w:w="5180" w:type="dxa"/>
            <w:vAlign w:val="bottom"/>
          </w:tcPr>
          <w:p>
            <w:pPr>
              <w:ind w:left="160"/>
              <w:spacing w:after="0"/>
              <w:rPr>
                <w:sz w:val="20"/>
                <w:szCs w:val="20"/>
                <w:color w:val="auto"/>
              </w:rPr>
            </w:pPr>
            <w:r>
              <w:rPr>
                <w:rFonts w:ascii="Arial" w:cs="Arial" w:eastAsia="Arial" w:hAnsi="Arial"/>
                <w:sz w:val="16"/>
                <w:szCs w:val="16"/>
                <w:color w:val="auto"/>
              </w:rPr>
              <w:t>Granted</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194,014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60" w:type="dxa"/>
            <w:vAlign w:val="bottom"/>
          </w:tcPr>
          <w:p>
            <w:pPr>
              <w:spacing w:after="0"/>
              <w:rPr>
                <w:sz w:val="20"/>
                <w:szCs w:val="20"/>
                <w:color w:val="auto"/>
              </w:rPr>
            </w:pPr>
          </w:p>
        </w:tc>
      </w:tr>
      <w:tr>
        <w:trPr>
          <w:trHeight w:val="33"/>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November 30,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2,925,377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w:t>
            </w:r>
          </w:p>
        </w:tc>
      </w:tr>
      <w:tr>
        <w:trPr>
          <w:trHeight w:val="291"/>
        </w:trPr>
        <w:tc>
          <w:tcPr>
            <w:tcW w:w="518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November 30,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2,925,377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w:t>
            </w:r>
          </w:p>
        </w:tc>
      </w:tr>
      <w:tr>
        <w:trPr>
          <w:trHeight w:val="291"/>
        </w:trPr>
        <w:tc>
          <w:tcPr>
            <w:tcW w:w="518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as of November 30,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1,579,067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w:t>
            </w:r>
          </w:p>
        </w:tc>
      </w:tr>
      <w:tr>
        <w:trPr>
          <w:trHeight w:val="20"/>
        </w:trPr>
        <w:tc>
          <w:tcPr>
            <w:tcW w:w="51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November 30, 2019, the Company had $5.4 million of total unrecognized compensation cost related to stock option plans that will be recognized over a weighted average period of 1.33 years. During the thirteen week period ended November 30, 2019, the Company received $0.2 million in cash from stock option exercises.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restricted stock unit activity for the thirteen weeks ended November 30, 2019:</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7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w w:val="89"/>
              </w:rPr>
              <w:t>Weighted average</w:t>
            </w:r>
          </w:p>
        </w:tc>
      </w:tr>
      <w:tr>
        <w:trPr>
          <w:trHeight w:val="206"/>
        </w:trPr>
        <w:tc>
          <w:tcPr>
            <w:tcW w:w="7040" w:type="dxa"/>
            <w:vAlign w:val="bottom"/>
          </w:tcPr>
          <w:p>
            <w:pPr>
              <w:spacing w:after="0"/>
              <w:rPr>
                <w:sz w:val="17"/>
                <w:szCs w:val="17"/>
                <w:color w:val="auto"/>
              </w:rPr>
            </w:pPr>
          </w:p>
        </w:tc>
        <w:tc>
          <w:tcPr>
            <w:tcW w:w="1460" w:type="dxa"/>
            <w:vAlign w:val="bottom"/>
          </w:tcPr>
          <w:p>
            <w:pPr>
              <w:jc w:val="right"/>
              <w:ind w:right="479"/>
              <w:spacing w:after="0"/>
              <w:rPr>
                <w:sz w:val="20"/>
                <w:szCs w:val="20"/>
                <w:color w:val="auto"/>
              </w:rPr>
            </w:pPr>
            <w:r>
              <w:rPr>
                <w:rFonts w:ascii="Arial" w:cs="Arial" w:eastAsia="Arial" w:hAnsi="Arial"/>
                <w:sz w:val="16"/>
                <w:szCs w:val="16"/>
                <w:color w:val="auto"/>
              </w:rPr>
              <w:t>Units</w:t>
            </w:r>
          </w:p>
        </w:tc>
        <w:tc>
          <w:tcPr>
            <w:tcW w:w="1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w w:val="95"/>
              </w:rPr>
              <w:t>grant-date fair value</w:t>
            </w:r>
          </w:p>
        </w:tc>
      </w:tr>
      <w:tr>
        <w:trPr>
          <w:trHeight w:val="33"/>
        </w:trPr>
        <w:tc>
          <w:tcPr>
            <w:tcW w:w="70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August 31,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r>
      <w:tr>
        <w:trPr>
          <w:trHeight w:val="217"/>
        </w:trPr>
        <w:tc>
          <w:tcPr>
            <w:tcW w:w="7040" w:type="dxa"/>
            <w:vAlign w:val="bottom"/>
          </w:tcPr>
          <w:p>
            <w:pPr>
              <w:ind w:left="20"/>
              <w:spacing w:after="0"/>
              <w:rPr>
                <w:sz w:val="20"/>
                <w:szCs w:val="20"/>
                <w:color w:val="auto"/>
              </w:rPr>
            </w:pPr>
            <w:r>
              <w:rPr>
                <w:rFonts w:ascii="Arial" w:cs="Arial" w:eastAsia="Arial" w:hAnsi="Arial"/>
                <w:sz w:val="16"/>
                <w:szCs w:val="16"/>
                <w:color w:val="auto"/>
              </w:rPr>
              <w:t>Granted</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121,174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25.58</w:t>
            </w:r>
          </w:p>
        </w:tc>
      </w:tr>
      <w:tr>
        <w:trPr>
          <w:trHeight w:val="33"/>
        </w:trPr>
        <w:tc>
          <w:tcPr>
            <w:tcW w:w="7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w:t>
            </w:r>
          </w:p>
        </w:tc>
      </w:tr>
      <w:tr>
        <w:trPr>
          <w:trHeight w:val="237"/>
        </w:trPr>
        <w:tc>
          <w:tcPr>
            <w:tcW w:w="704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60" w:type="dxa"/>
            <w:vAlign w:val="bottom"/>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13.91</w:t>
            </w:r>
          </w:p>
        </w:tc>
      </w:tr>
      <w:tr>
        <w:trPr>
          <w:trHeight w:val="33"/>
        </w:trPr>
        <w:tc>
          <w:tcPr>
            <w:tcW w:w="70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3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November 30,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162,907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23.30</w:t>
            </w:r>
          </w:p>
        </w:tc>
      </w:tr>
      <w:tr>
        <w:trPr>
          <w:trHeight w:val="20"/>
        </w:trPr>
        <w:tc>
          <w:tcPr>
            <w:tcW w:w="70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November 30, 2019, the Company had $3.4 million of total unrecognized compensation cost related to restricted stock units that will be recognized over a weighted average period of 2.13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Stock Units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thirteen weeks ended November 30, 2019, the board of directors granted performance stock units under the Company’s equity compensation plan. Performance stock units vest in a range between 0% and 200% based upon certain performance criteria in a three-year period. Performance stock units were valued using a Monte-Carlo simulation.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performance stock unit activity for the thirteen weeks ended November 30, 2019:</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7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w w:val="89"/>
              </w:rPr>
              <w:t>Weighted average</w:t>
            </w:r>
          </w:p>
        </w:tc>
      </w:tr>
      <w:tr>
        <w:trPr>
          <w:trHeight w:val="206"/>
        </w:trPr>
        <w:tc>
          <w:tcPr>
            <w:tcW w:w="7040" w:type="dxa"/>
            <w:vAlign w:val="bottom"/>
          </w:tcPr>
          <w:p>
            <w:pPr>
              <w:spacing w:after="0"/>
              <w:rPr>
                <w:sz w:val="17"/>
                <w:szCs w:val="17"/>
                <w:color w:val="auto"/>
              </w:rPr>
            </w:pPr>
          </w:p>
        </w:tc>
        <w:tc>
          <w:tcPr>
            <w:tcW w:w="1460" w:type="dxa"/>
            <w:vAlign w:val="bottom"/>
          </w:tcPr>
          <w:p>
            <w:pPr>
              <w:jc w:val="right"/>
              <w:ind w:right="479"/>
              <w:spacing w:after="0"/>
              <w:rPr>
                <w:sz w:val="20"/>
                <w:szCs w:val="20"/>
                <w:color w:val="auto"/>
              </w:rPr>
            </w:pPr>
            <w:r>
              <w:rPr>
                <w:rFonts w:ascii="Arial" w:cs="Arial" w:eastAsia="Arial" w:hAnsi="Arial"/>
                <w:sz w:val="16"/>
                <w:szCs w:val="16"/>
                <w:color w:val="auto"/>
              </w:rPr>
              <w:t>Units</w:t>
            </w:r>
          </w:p>
        </w:tc>
        <w:tc>
          <w:tcPr>
            <w:tcW w:w="1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w w:val="95"/>
              </w:rPr>
              <w:t>grant-date fair value</w:t>
            </w:r>
          </w:p>
        </w:tc>
      </w:tr>
      <w:tr>
        <w:trPr>
          <w:trHeight w:val="33"/>
        </w:trPr>
        <w:tc>
          <w:tcPr>
            <w:tcW w:w="70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August 31,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192,389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r>
      <w:tr>
        <w:trPr>
          <w:trHeight w:val="217"/>
        </w:trPr>
        <w:tc>
          <w:tcPr>
            <w:tcW w:w="7040" w:type="dxa"/>
            <w:vAlign w:val="bottom"/>
          </w:tcPr>
          <w:p>
            <w:pPr>
              <w:ind w:left="20"/>
              <w:spacing w:after="0"/>
              <w:rPr>
                <w:sz w:val="20"/>
                <w:szCs w:val="20"/>
                <w:color w:val="auto"/>
              </w:rPr>
            </w:pPr>
            <w:r>
              <w:rPr>
                <w:rFonts w:ascii="Arial" w:cs="Arial" w:eastAsia="Arial" w:hAnsi="Arial"/>
                <w:sz w:val="16"/>
                <w:szCs w:val="16"/>
                <w:color w:val="auto"/>
              </w:rPr>
              <w:t>Granted</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121,288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27.39</w:t>
            </w:r>
          </w:p>
        </w:tc>
      </w:tr>
      <w:tr>
        <w:trPr>
          <w:trHeight w:val="33"/>
        </w:trPr>
        <w:tc>
          <w:tcPr>
            <w:tcW w:w="7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04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11.93</w:t>
            </w:r>
          </w:p>
        </w:tc>
      </w:tr>
      <w:tr>
        <w:trPr>
          <w:trHeight w:val="33"/>
        </w:trPr>
        <w:tc>
          <w:tcPr>
            <w:tcW w:w="70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3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November 30,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313,153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17.92</w:t>
            </w:r>
          </w:p>
        </w:tc>
      </w:tr>
      <w:tr>
        <w:trPr>
          <w:trHeight w:val="20"/>
        </w:trPr>
        <w:tc>
          <w:tcPr>
            <w:tcW w:w="70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November 30, 2019, the Company had $4.7 million of total unrecognized compensation cost related to performance stock units that will be recognized over a weighted average period of 2.33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Appreciation Rights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Stock appreciation rights ("SARs") permit the holder to participate in the appreciation of the Company's Common Stock price. The Company's SARs settle in shares of Common Stock once the applicable vesting criteria has been met. Stock appreciation rights cliff vest 3 years from the date of grant and must be exercised within 10 years.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SARs activity for the thirteen weeks ended November 30, 2019:</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r>
      <w:tr>
        <w:trPr>
          <w:trHeight w:val="203"/>
        </w:trPr>
        <w:tc>
          <w:tcPr>
            <w:tcW w:w="5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Weighted average</w:t>
            </w:r>
          </w:p>
        </w:tc>
        <w:tc>
          <w:tcPr>
            <w:tcW w:w="1780" w:type="dxa"/>
            <w:vAlign w:val="bottom"/>
          </w:tcPr>
          <w:p>
            <w:pPr>
              <w:jc w:val="center"/>
              <w:spacing w:after="0"/>
              <w:rPr>
                <w:sz w:val="20"/>
                <w:szCs w:val="20"/>
                <w:color w:val="auto"/>
              </w:rPr>
            </w:pPr>
            <w:r>
              <w:rPr>
                <w:rFonts w:ascii="Arial" w:cs="Arial" w:eastAsia="Arial" w:hAnsi="Arial"/>
                <w:sz w:val="16"/>
                <w:szCs w:val="16"/>
                <w:color w:val="auto"/>
                <w:w w:val="94"/>
              </w:rPr>
              <w:t>remaining contractual life</w:t>
            </w:r>
          </w:p>
        </w:tc>
      </w:tr>
      <w:tr>
        <w:trPr>
          <w:trHeight w:val="206"/>
        </w:trPr>
        <w:tc>
          <w:tcPr>
            <w:tcW w:w="5180" w:type="dxa"/>
            <w:vAlign w:val="bottom"/>
          </w:tcPr>
          <w:p>
            <w:pPr>
              <w:spacing w:after="0"/>
              <w:rPr>
                <w:sz w:val="17"/>
                <w:szCs w:val="17"/>
                <w:color w:val="auto"/>
              </w:rPr>
            </w:pP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exercise price</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(in years)</w:t>
            </w:r>
          </w:p>
        </w:tc>
      </w:tr>
      <w:tr>
        <w:trPr>
          <w:trHeight w:val="33"/>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August 31, 2019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spacing w:after="0"/>
              <w:rPr>
                <w:sz w:val="22"/>
                <w:szCs w:val="22"/>
                <w:color w:val="auto"/>
              </w:rPr>
            </w:pPr>
          </w:p>
        </w:tc>
      </w:tr>
      <w:tr>
        <w:trPr>
          <w:trHeight w:val="217"/>
        </w:trPr>
        <w:tc>
          <w:tcPr>
            <w:tcW w:w="5180" w:type="dxa"/>
            <w:vAlign w:val="bottom"/>
          </w:tcPr>
          <w:p>
            <w:pPr>
              <w:ind w:left="20"/>
              <w:spacing w:after="0"/>
              <w:rPr>
                <w:sz w:val="20"/>
                <w:szCs w:val="20"/>
                <w:color w:val="auto"/>
              </w:rPr>
            </w:pPr>
            <w:r>
              <w:rPr>
                <w:rFonts w:ascii="Arial" w:cs="Arial" w:eastAsia="Arial" w:hAnsi="Arial"/>
                <w:sz w:val="16"/>
                <w:szCs w:val="16"/>
                <w:color w:val="auto"/>
              </w:rPr>
              <w:t>Granted</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80" w:type="dxa"/>
            <w:vAlign w:val="bottom"/>
          </w:tcPr>
          <w:p>
            <w:pPr>
              <w:spacing w:after="0"/>
              <w:rPr>
                <w:sz w:val="20"/>
                <w:szCs w:val="20"/>
                <w:color w:val="auto"/>
              </w:rPr>
            </w:pPr>
          </w:p>
        </w:tc>
      </w:tr>
      <w:tr>
        <w:trPr>
          <w:trHeight w:val="33"/>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November 30, 2019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r>
      <w:tr>
        <w:trPr>
          <w:trHeight w:val="318"/>
        </w:trPr>
        <w:tc>
          <w:tcPr>
            <w:tcW w:w="518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November 30, 2019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r>
      <w:tr>
        <w:trPr>
          <w:trHeight w:val="324"/>
        </w:trPr>
        <w:tc>
          <w:tcPr>
            <w:tcW w:w="5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as of November 30, 2019</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r>
      <w:tr>
        <w:trPr>
          <w:trHeight w:val="33"/>
        </w:trPr>
        <w:tc>
          <w:tcPr>
            <w:tcW w:w="5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November 30, 2019, the Company had $0.4 million of total unrecognized compensation cost related to its SARs that will be recognized over a weighted average period of 2.92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thirteen weeks ended November 24, 2018, the Company entered into the Termination Agreement, pursuant to which, the Company paid $26.5 million to settle the TRA (the “Termination Payment”), which provided former stockholders of Atkins with payments for federal, state, local and non-U.S. tax benefits deemed realized by the Company.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Termination Agreement, each of the parties thereto agreed to terminate the TRA and to release and discharge any and all obligations and liabilities of the other parties thereunder effective as of the exchange agent’s receipt of the Termination Payment. Richard Laube, a former director of the Company, Joseph Scalzo, our president and Chief Executive Officer and a director of the Company, and Scott Parker, our Chief Marketing Officer, were each former stockholders of Atkins and received their respective pro rata share of the Termination Payment as additional consideration for their former stock ownership in accordance with the terms of the Merger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Customer Information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Following the Acquisition of Quest, the Company's operations are organized into two operating segments; Atkins and Quest, which are aggregated into one reporting segment, due to similar financial, economic and operating characteristics. The operating segments are also similar in the following areas:</w:t>
      </w:r>
    </w:p>
    <w:p>
      <w:pPr>
        <w:jc w:val="both"/>
        <w:ind w:firstLine="8"/>
        <w:spacing w:after="0" w:line="254" w:lineRule="auto"/>
        <w:tabs>
          <w:tab w:leader="none" w:pos="24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nature of the products; (b) the nature of the production processes; (c) the methods used to distribute products to customers, (d) the type of customer for the products, and (e) the nature of the regulatory environment. The results of the operating segments are reviewed by the Company’s chief operating decision maker, our Chief Executive Officer, to make decisions about resource expenditures and assessing financial performance. These operating segments are therefore aggregated into the Company’s only reportable segment.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We disclaim any undertaking to publicly update or revise any forward-looking statements contained herein to reflect any change in our expectations with regard thereto or any change in events, conditions or circumstances on which any such statement is based. These statements reflect our current views with respect to future events and are based on assumptions subject to risks and uncertainties. Such risks and uncertainties include those related to our ability to sell our products.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25, 2018 (“Annual Report”) and our unaudited condensed consolidated financial statements and the related notes appearing elsewhere in this Report. In addition to historical information, the following discussion contains forward-looking statements, such as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below and in Item 1A. “Risk Factors” of our Annual Report. The Company assumes no obligation to update any of these forward-looking statements.</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Unless the context requires otherwise in this Report, the terms “we,” “us,” “our,” the “Company” and “Simply Good Foods” refer to The Simply Good Foods Company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Simply Good Foods Company is a consumer packaged food and beverage company that aims to lead the nutritious snacking movement with trusted brands that offer a variety of convenient, innovative, great-tasting, better-for-you snacks and meal replacements. The Company’s nutritious snacking platform consists of brands that specialize in providing products for consumers that follow certain nutritional philosophies, dietary approaches and/or health-and-wellness trends: Atkins® for those following a low-carb lifestyle; Quest® for consumers seeking to partner with a brand that makes the foods they crave work for them, not against them, through a variety of protein-rich foods and beverages that also limit sugars and simple carbs; and SimplyProtein® for consumers looking for protein-enhanced snacks made with fewer, simple ingredients.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 Our platform also positions us to continue to selectively pursue acquisition opportunities of brands in the nutritious snacking.</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that end, in November 2019, we completed the acquisition of Quest Nutrition, LLC (“Quest”), a healthy lifestyle food company, for a cash purchase price of approximately $1.0 billion (subject to customary adjustments) (the “Acquisition of Quest”). For more information, please see “Liquidity and Capital Resources-Acquisition of Quest.”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Reportable Segment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Following the Acquisition of Quest, the Company's operations are organized into two operating segments; Atkins and Quest, which are aggregated into one reporting segment, due to similar financial, economic and operating characteristics. The operating segments are also similar in the following areas:</w:t>
      </w:r>
    </w:p>
    <w:p>
      <w:pPr>
        <w:jc w:val="both"/>
        <w:ind w:firstLine="8"/>
        <w:spacing w:after="0" w:line="254" w:lineRule="auto"/>
        <w:tabs>
          <w:tab w:leader="none" w:pos="24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nature of the products; (b) the nature of the production processes; (c) the methods used to distribute products to customers, (d) the type of customer for the products, and (e) the nature of the regulatory environment. The results of the operating segments are reviewed by the Company’s chief operating decision maker, our Chief Executive Officer, to make decisions about resource expenditures and assessing financial performance. These operating segments are therefore aggregated into the Company’s only reportable segment.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Key Financial Definitions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consists primarily of product sales less the cost of promotional activities, slotting fees and other sales credits and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product returns. We also include licensing revenue from the frozen meals business in net sales.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consists primarily of the costs we pay to our contract manufacturing partners to produce the products sold.</w:t>
      </w:r>
      <w:r>
        <w:rPr>
          <w:rFonts w:ascii="Arial" w:cs="Arial" w:eastAsia="Arial" w:hAnsi="Arial"/>
          <w:sz w:val="18"/>
          <w:szCs w:val="18"/>
          <w:b w:val="1"/>
          <w:bCs w:val="1"/>
          <w:color w:val="auto"/>
        </w:rPr>
        <w:t xml:space="preserve"> </w:t>
      </w:r>
      <w:r>
        <w:rPr>
          <w:rFonts w:ascii="Arial" w:cs="Arial" w:eastAsia="Arial" w:hAnsi="Arial"/>
          <w:sz w:val="18"/>
          <w:szCs w:val="18"/>
          <w:color w:val="auto"/>
        </w:rPr>
        <w:t>These 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Operating expenses consist primarily of selling and marketing, general and administrative, and depreciation and amortization.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description of the components of operating expenses:</w:t>
      </w:r>
    </w:p>
    <w:p>
      <w:pPr>
        <w:spacing w:after="0" w:line="21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Selling and marketing. </w:t>
      </w:r>
      <w:r>
        <w:rPr>
          <w:rFonts w:ascii="Arial" w:cs="Arial" w:eastAsia="Arial" w:hAnsi="Arial"/>
          <w:sz w:val="16"/>
          <w:szCs w:val="16"/>
          <w:color w:val="auto"/>
        </w:rPr>
        <w:t>Selling and marketing expenses are comprised of broker commissions, customer marketing, media and other marketing costs.</w:t>
      </w:r>
    </w:p>
    <w:p>
      <w:pPr>
        <w:spacing w:after="0" w:line="248"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are comprised of expenses associated with corporate and administrative functions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support our business, including fees for employee salaries, professional services, insurance and other general corporate expenses.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costs consist of costs associated with the depreciation of fixed assets and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leasehold improvements and amortization of intangible assets.</w:t>
      </w:r>
    </w:p>
    <w:p>
      <w:pPr>
        <w:spacing w:after="0" w:line="170"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Business transaction costs. </w:t>
      </w:r>
      <w:r>
        <w:rPr>
          <w:rFonts w:ascii="Arial" w:cs="Arial" w:eastAsia="Arial" w:hAnsi="Arial"/>
          <w:sz w:val="18"/>
          <w:szCs w:val="18"/>
          <w:color w:val="auto"/>
        </w:rPr>
        <w:t>Business transaction costs are comprised of legal, due diligence, consulting and accounting firm expenses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process of actively pursuing potential and completed business combinations, including the Acquisition of Quest.</w:t>
      </w:r>
    </w:p>
    <w:p>
      <w:pPr>
        <w:spacing w:after="0" w:line="170"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Loss in fair value change of contingent consideration - TRA liability</w:t>
      </w:r>
      <w:r>
        <w:rPr>
          <w:rFonts w:ascii="Arial" w:cs="Arial" w:eastAsia="Arial" w:hAnsi="Arial"/>
          <w:sz w:val="18"/>
          <w:szCs w:val="18"/>
          <w:color w:val="auto"/>
        </w:rPr>
        <w:t>. Loss in fair value change of contingent consideration - TRA liability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 to fair value adjustments of the Income Tax Receivable Agreement (the “TRA”)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Simply Good Foods' first quarter results were a good start to fiscal 2020 as we build on our fiscal 2019 performance. Atkins® retail takeaway performance for the thirteen weeks ended November 30, 2019 increased 10.7% in the U.S. measured channels, which is based on information provided by IRI MULO. In addition to our business growth at Atkins, the Acquisition of Quest contributed to the increase in total net sales and earnings and is a valuable addition to our nutritional snacking portfolio.</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Quest retail takeaway in U.S. measured channels increased 24.0% for the thirteen weeks ended November 30, 2019. While the U.S. measured channels account for approximately 90% of Atkins sales, they account for only about 50% of Quest sales. The remaining approximately 50% of Quest sales are generated primarily in convenience stores, e-commerce and the specialty class of trade, which are not measured by IRI MULO. Performance in the convenience store and e-commerce channels is solid; however, the specialty channel, which currently represents approximately 18% of Quest’s sales, continues to decline due to store closures and slower foot traffic at these retailers.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assessing the performance of our business, we consider a number of key performance indicators used by management and typically used by our competitors, including the non-GAAP measures of Adjusted EBITDA and Adjusted Diluted Earnings Per Share. Because not all companies use identical calculations, this presentation of Adjusted EBITDA and Adjusted Diluted Earnings Per Share may not be comparable to other similarly titled measures of other companies. See “Reconciliation of Adjusted EBITDA” below for a reconciliation of Adjusted EBITDA to net (loss) income for each applicable period. See “Reconciliation of Adjusted Diluted Earnings Per Share” below for a reconciliation of Adjusted Diluted Earnings Per Share to diluted earnings per share for each applicable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Unaudited Results for the Thirteen Weeks Ended November 30, 2019 and the Thirteen Weeks Ended November 24, 2018</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unaudited table presents, for the periods indicated, selected information from our Condensed Consolidated Statements of Operations and Comprehensive (Loss) Income, including information presented as a 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66040</wp:posOffset>
            </wp:positionV>
            <wp:extent cx="30873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14" w:lineRule="exact"/>
        <w:rPr>
          <w:sz w:val="20"/>
          <w:szCs w:val="20"/>
          <w:color w:val="auto"/>
        </w:rPr>
      </w:pPr>
    </w:p>
    <w:tbl>
      <w:tblPr>
        <w:tblLayout w:type="fixed"/>
        <w:tblInd w:w="80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Thirteen Weeks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Thirteen Weeks</w:t>
            </w:r>
          </w:p>
        </w:tc>
        <w:tc>
          <w:tcPr>
            <w:tcW w:w="840" w:type="dxa"/>
            <w:vAlign w:val="bottom"/>
          </w:tcPr>
          <w:p>
            <w:pPr>
              <w:spacing w:after="0"/>
              <w:rPr>
                <w:sz w:val="17"/>
                <w:szCs w:val="17"/>
                <w:color w:val="auto"/>
              </w:rPr>
            </w:pPr>
          </w:p>
        </w:tc>
      </w:tr>
      <w:tr>
        <w:trPr>
          <w:trHeight w:val="206"/>
        </w:trPr>
        <w:tc>
          <w:tcPr>
            <w:tcW w:w="4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Ended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Ended</w:t>
            </w:r>
          </w:p>
        </w:tc>
        <w:tc>
          <w:tcPr>
            <w:tcW w:w="840" w:type="dxa"/>
            <w:vAlign w:val="bottom"/>
          </w:tcPr>
          <w:p>
            <w:pPr>
              <w:spacing w:after="0"/>
              <w:rPr>
                <w:sz w:val="17"/>
                <w:szCs w:val="17"/>
                <w:color w:val="auto"/>
              </w:rPr>
            </w:pPr>
          </w:p>
        </w:tc>
      </w:tr>
      <w:tr>
        <w:trPr>
          <w:trHeight w:val="297"/>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4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November 30, 2019</w:t>
            </w:r>
          </w:p>
        </w:tc>
        <w:tc>
          <w:tcPr>
            <w:tcW w:w="940" w:type="dxa"/>
            <w:vAlign w:val="bottom"/>
            <w:gridSpan w:val="2"/>
          </w:tcPr>
          <w:p>
            <w:pPr>
              <w:ind w:left="60"/>
              <w:spacing w:after="0"/>
              <w:rPr>
                <w:sz w:val="20"/>
                <w:szCs w:val="20"/>
                <w:color w:val="auto"/>
              </w:rPr>
            </w:pPr>
            <w:r>
              <w:rPr>
                <w:rFonts w:ascii="Arial" w:cs="Arial" w:eastAsia="Arial" w:hAnsi="Arial"/>
                <w:sz w:val="16"/>
                <w:szCs w:val="16"/>
                <w:color w:val="auto"/>
              </w:rPr>
              <w:t>% of Sales</w:t>
            </w: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November 24, 2018</w:t>
            </w:r>
          </w:p>
        </w:tc>
        <w:tc>
          <w:tcPr>
            <w:tcW w:w="840" w:type="dxa"/>
            <w:vAlign w:val="bottom"/>
          </w:tcPr>
          <w:p>
            <w:pPr>
              <w:jc w:val="right"/>
              <w:spacing w:after="0"/>
              <w:rPr>
                <w:sz w:val="20"/>
                <w:szCs w:val="20"/>
                <w:color w:val="auto"/>
              </w:rPr>
            </w:pPr>
            <w:r>
              <w:rPr>
                <w:rFonts w:ascii="Arial" w:cs="Arial" w:eastAsia="Arial" w:hAnsi="Arial"/>
                <w:sz w:val="16"/>
                <w:szCs w:val="16"/>
                <w:color w:val="auto"/>
                <w:w w:val="96"/>
              </w:rPr>
              <w:t>% of Sales</w:t>
            </w:r>
          </w:p>
        </w:tc>
      </w:tr>
      <w:tr>
        <w:trPr>
          <w:trHeight w:val="236"/>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152,153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120,931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498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89,947</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69,011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57.1 %</w:t>
            </w:r>
          </w:p>
        </w:tc>
      </w:tr>
      <w:tr>
        <w:trPr>
          <w:trHeight w:val="33"/>
        </w:trPr>
        <w:tc>
          <w:tcPr>
            <w:tcW w:w="4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62,206</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51,920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42.9 %</w:t>
            </w:r>
          </w:p>
        </w:tc>
      </w:tr>
      <w:tr>
        <w:trPr>
          <w:trHeight w:val="297"/>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tcPr>
          <w:p>
            <w:pPr>
              <w:ind w:left="260"/>
              <w:spacing w:after="0"/>
              <w:rPr>
                <w:sz w:val="20"/>
                <w:szCs w:val="20"/>
                <w:color w:val="auto"/>
              </w:rPr>
            </w:pPr>
            <w:r>
              <w:rPr>
                <w:rFonts w:ascii="Arial" w:cs="Arial" w:eastAsia="Arial" w:hAnsi="Arial"/>
                <w:sz w:val="16"/>
                <w:szCs w:val="16"/>
                <w:color w:val="auto"/>
              </w:rPr>
              <w:t>Selling and marketing</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18,434</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15,319</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12.7 %</w:t>
            </w:r>
          </w:p>
        </w:tc>
      </w:tr>
      <w:tr>
        <w:trPr>
          <w:trHeight w:val="33"/>
        </w:trPr>
        <w:tc>
          <w:tcPr>
            <w:tcW w:w="4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18,145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11,998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237"/>
        </w:trPr>
        <w:tc>
          <w:tcPr>
            <w:tcW w:w="498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2,453</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1,849</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33"/>
        </w:trPr>
        <w:tc>
          <w:tcPr>
            <w:tcW w:w="4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Business transaction costs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26,159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37"/>
        </w:trPr>
        <w:tc>
          <w:tcPr>
            <w:tcW w:w="4980" w:type="dxa"/>
            <w:vAlign w:val="bottom"/>
          </w:tcPr>
          <w:p>
            <w:pPr>
              <w:ind w:left="260"/>
              <w:spacing w:after="0"/>
              <w:rPr>
                <w:sz w:val="20"/>
                <w:szCs w:val="20"/>
                <w:color w:val="auto"/>
              </w:rPr>
            </w:pPr>
            <w:r>
              <w:rPr>
                <w:rFonts w:ascii="Arial" w:cs="Arial" w:eastAsia="Arial" w:hAnsi="Arial"/>
                <w:sz w:val="16"/>
                <w:szCs w:val="16"/>
                <w:color w:val="auto"/>
                <w:w w:val="99"/>
              </w:rPr>
              <w:t>Loss in fair value change of contingent consideration - TRA liability</w:t>
            </w:r>
          </w:p>
        </w:tc>
        <w:tc>
          <w:tcPr>
            <w:tcW w:w="1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44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0.4 %</w:t>
            </w:r>
          </w:p>
        </w:tc>
      </w:tr>
      <w:tr>
        <w:trPr>
          <w:trHeight w:val="33"/>
        </w:trPr>
        <w:tc>
          <w:tcPr>
            <w:tcW w:w="4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65,191</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30,738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25.4 %</w:t>
            </w:r>
          </w:p>
        </w:tc>
      </w:tr>
      <w:tr>
        <w:trPr>
          <w:trHeight w:val="297"/>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21,182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17.5 %</w:t>
            </w:r>
          </w:p>
        </w:tc>
      </w:tr>
      <w:tr>
        <w:trPr>
          <w:trHeight w:val="297"/>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33"/>
        </w:trPr>
        <w:tc>
          <w:tcPr>
            <w:tcW w:w="4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4980" w:type="dxa"/>
            <w:vAlign w:val="bottom"/>
          </w:tcPr>
          <w:p>
            <w:pPr>
              <w:ind w:left="260"/>
              <w:spacing w:after="0"/>
              <w:rPr>
                <w:sz w:val="20"/>
                <w:szCs w:val="20"/>
                <w:color w:val="auto"/>
              </w:rPr>
            </w:pPr>
            <w:r>
              <w:rPr>
                <w:rFonts w:ascii="Arial" w:cs="Arial" w:eastAsia="Arial" w:hAnsi="Arial"/>
                <w:sz w:val="16"/>
                <w:szCs w:val="16"/>
                <w:color w:val="auto"/>
              </w:rPr>
              <w:t>Gain on settlement of TRA liability</w:t>
            </w:r>
          </w:p>
        </w:tc>
        <w:tc>
          <w:tcPr>
            <w:tcW w:w="1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44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33"/>
        </w:trPr>
        <w:tc>
          <w:tcPr>
            <w:tcW w:w="4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Gain (loss) on foreign currency transactions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4980" w:type="dxa"/>
            <w:vAlign w:val="bottom"/>
          </w:tcPr>
          <w:p>
            <w:pPr>
              <w:ind w:left="26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940" w:type="dxa"/>
            <w:vAlign w:val="bottom"/>
            <w:gridSpan w:val="2"/>
          </w:tcPr>
          <w:p>
            <w:pPr>
              <w:ind w:left="44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4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expense</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97"/>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19,882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16.4 %</w:t>
            </w:r>
          </w:p>
        </w:tc>
      </w:tr>
      <w:tr>
        <w:trPr>
          <w:trHeight w:val="237"/>
        </w:trPr>
        <w:tc>
          <w:tcPr>
            <w:tcW w:w="498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(1,729)</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4,625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33"/>
        </w:trPr>
        <w:tc>
          <w:tcPr>
            <w:tcW w:w="4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15,257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12.6 %</w:t>
            </w: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84"/>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financial data:</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50"/>
        </w:trPr>
        <w:tc>
          <w:tcPr>
            <w:tcW w:w="4980" w:type="dxa"/>
            <w:vAlign w:val="bottom"/>
          </w:tcPr>
          <w:p>
            <w:pPr>
              <w:ind w:left="260"/>
              <w:spacing w:after="0"/>
              <w:rPr>
                <w:sz w:val="20"/>
                <w:szCs w:val="20"/>
                <w:color w:val="auto"/>
              </w:rPr>
            </w:pPr>
            <w:r>
              <w:rPr>
                <w:rFonts w:ascii="Arial" w:cs="Arial" w:eastAsia="Arial" w:hAnsi="Arial"/>
                <w:sz w:val="16"/>
                <w:szCs w:val="16"/>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31,795</w:t>
            </w:r>
          </w:p>
        </w:tc>
        <w:tc>
          <w:tcPr>
            <w:tcW w:w="12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20.9 %</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26,700</w:t>
            </w:r>
          </w:p>
        </w:tc>
        <w:tc>
          <w:tcPr>
            <w:tcW w:w="10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22.1 %</w:t>
            </w: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of $152.2 million represented an increase of $31.2 million, or 25.8%, for the thirteen weeks ended November 30, 2019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thirteen weeks ended November 24, 2018. The net sales increase of 25.8% was driven by volume growth, primarily due to strong U.S. retail takeaway and the acquired Quest business.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Cost of goods sold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goods sold increased $20.9 million, or 30.3%, for the thirteen weeks ended November 30, 2019 compared to the thirteen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November 24, 2018. The cost of goods sold increase is driven by sales volume growth and the effect of the non-cash $2.4 million inventory step-up related to the Acquisition of Quest.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$10.3 million, or 19.8%, for the thirteen weeks ended November 30, 2019 compared to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24, 2018. Gross profit of $62.2 million, or 40.9% of net sales, for the thirteen weeks ended November 30, 2019 decreased 200 basis points from 42.9% of net sales for the thirteen weeks ended November 24, 2018. The decrease in gross margin is primarily the result of the non-cash $2.4 million inventory step-up and slightly lower gross profit margins of the Quest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 Operating expenses increased $34.5 million, or 112.1%, for the thirteen weeks ended November 30, 2019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thirteen weeks ended November 24, 2018 due to the following:</w:t>
      </w:r>
    </w:p>
    <w:p>
      <w:pPr>
        <w:spacing w:after="0" w:line="197" w:lineRule="exact"/>
        <w:rPr>
          <w:sz w:val="20"/>
          <w:szCs w:val="20"/>
          <w:color w:val="auto"/>
        </w:rPr>
      </w:pPr>
    </w:p>
    <w:p>
      <w:pPr>
        <w:jc w:val="both"/>
        <w:ind w:left="1300" w:hanging="239"/>
        <w:spacing w:after="0" w:line="279" w:lineRule="auto"/>
        <w:tabs>
          <w:tab w:leader="none" w:pos="130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increased $3.1 million, or 20.3%, for the thirteen weeks ended November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thirteen weeks ended November 24, 2018. The increase is primarily related to the Acquisition of Quest of $1.4 million, and an increase in television media and marketing investments of $1.2 million.</w:t>
      </w:r>
    </w:p>
    <w:p>
      <w:pPr>
        <w:spacing w:after="0" w:line="196" w:lineRule="exact"/>
        <w:rPr>
          <w:rFonts w:ascii="Arial" w:cs="Arial" w:eastAsia="Arial" w:hAnsi="Arial"/>
          <w:sz w:val="18"/>
          <w:szCs w:val="18"/>
          <w:i w:val="1"/>
          <w:iCs w:val="1"/>
          <w:color w:val="auto"/>
        </w:rPr>
      </w:pPr>
    </w:p>
    <w:p>
      <w:pPr>
        <w:jc w:val="both"/>
        <w:ind w:left="1300" w:hanging="239"/>
        <w:spacing w:after="0" w:line="279" w:lineRule="auto"/>
        <w:tabs>
          <w:tab w:leader="none" w:pos="130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$6.1 million, or 51.2%, for the thirteen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30, 2019 compared to the thirteen weeks ended November 24, 2018. The increase is due to the Acquisition of Quest of $3.3 million, Quest integration related costs of $1.4 million, and employee related costs of $1.2 million.</w:t>
      </w:r>
    </w:p>
    <w:p>
      <w:pPr>
        <w:spacing w:after="0" w:line="196" w:lineRule="exact"/>
        <w:rPr>
          <w:rFonts w:ascii="Arial" w:cs="Arial" w:eastAsia="Arial" w:hAnsi="Arial"/>
          <w:sz w:val="18"/>
          <w:szCs w:val="18"/>
          <w:i w:val="1"/>
          <w:iCs w:val="1"/>
          <w:color w:val="auto"/>
        </w:rPr>
      </w:pPr>
    </w:p>
    <w:p>
      <w:pPr>
        <w:jc w:val="both"/>
        <w:ind w:left="1300" w:hanging="239"/>
        <w:spacing w:after="0" w:line="27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increased $0.6 million, or 32.7%, for the thirteen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30, 2019 compared to the thirteen weeks ended November 24, 2018. The increase is primarily due to amortization for the intangible assets recognized in the Acquisition of Quest of $0.6 million.</w:t>
      </w:r>
    </w:p>
    <w:p>
      <w:pPr>
        <w:spacing w:after="0" w:line="196" w:lineRule="exact"/>
        <w:rPr>
          <w:rFonts w:ascii="Arial" w:cs="Arial" w:eastAsia="Arial" w:hAnsi="Arial"/>
          <w:sz w:val="18"/>
          <w:szCs w:val="18"/>
          <w:color w:val="auto"/>
        </w:rPr>
      </w:pPr>
    </w:p>
    <w:p>
      <w:pPr>
        <w:jc w:val="both"/>
        <w:ind w:left="1300" w:hanging="239"/>
        <w:spacing w:after="0" w:line="27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Business transaction costs</w:t>
      </w:r>
      <w:r>
        <w:rPr>
          <w:rFonts w:ascii="Arial" w:cs="Arial" w:eastAsia="Arial" w:hAnsi="Arial"/>
          <w:sz w:val="18"/>
          <w:szCs w:val="18"/>
          <w:color w:val="auto"/>
        </w:rPr>
        <w:t>. Business transaction costs increased $25.1 million for the thirteen weeks ended November 30, 2019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thirteen weeks ended November 24, 2018. The $26.2 million recorded in the thirteen weeks ended November 30, 2019 is comprised of expenses related to the Acquisition of Quest.</w:t>
      </w:r>
    </w:p>
    <w:p>
      <w:pPr>
        <w:spacing w:after="0" w:line="196" w:lineRule="exact"/>
        <w:rPr>
          <w:rFonts w:ascii="Arial" w:cs="Arial" w:eastAsia="Arial" w:hAnsi="Arial"/>
          <w:sz w:val="18"/>
          <w:szCs w:val="18"/>
          <w:color w:val="auto"/>
        </w:rPr>
      </w:pPr>
    </w:p>
    <w:p>
      <w:pPr>
        <w:ind w:left="1300" w:right="20" w:hanging="239"/>
        <w:spacing w:after="0" w:line="324"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Loss in fair value change of contingent consideration - TRA liability</w:t>
      </w:r>
      <w:r>
        <w:rPr>
          <w:rFonts w:ascii="Arial" w:cs="Arial" w:eastAsia="Arial" w:hAnsi="Arial"/>
          <w:sz w:val="17"/>
          <w:szCs w:val="17"/>
          <w:color w:val="auto"/>
        </w:rPr>
        <w:t>. The thirteen weeks ended November 24, 2018 included a loss in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change of contingent consideration of $0.5 million. The TRA liability was settled in the first quarter of fiscal 2019.</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increased $0.6 million for the thirteen weeks ended November 30, 2019 compared to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24, 2018, due to higher cash balances and investment interest rates.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increased $1.7 million for the thirteen weeks ended November 30, 2019 compared to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24, 2018, due to the higher term loan principal amount of $460.0 million for a portion of the quarter.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Gain on settlement of TRA liability. </w:t>
      </w:r>
      <w:r>
        <w:rPr>
          <w:rFonts w:ascii="Arial" w:cs="Arial" w:eastAsia="Arial" w:hAnsi="Arial"/>
          <w:sz w:val="18"/>
          <w:szCs w:val="18"/>
          <w:color w:val="auto"/>
        </w:rPr>
        <w:t>The Company recorded a $1.5 million gain in connection with the settlement of the TRA liability in the thirteen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November 24, 2018.</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Gain (loss) on foreign currency transactions. </w:t>
      </w:r>
      <w:r>
        <w:rPr>
          <w:rFonts w:ascii="Arial" w:cs="Arial" w:eastAsia="Arial" w:hAnsi="Arial"/>
          <w:sz w:val="18"/>
          <w:szCs w:val="18"/>
          <w:color w:val="auto"/>
        </w:rPr>
        <w:t>A gain of $0.0 million in foreign currency transactions was recorded for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30, 2019 compared to a foreign currency loss of $0.4 million for the thirteen weeks ended November 24, 2018. The change relates to changes in foreign currency rates related to international operations.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Income tax (benefit) expense. </w:t>
      </w:r>
      <w:r>
        <w:rPr>
          <w:rFonts w:ascii="Arial" w:cs="Arial" w:eastAsia="Arial" w:hAnsi="Arial"/>
          <w:sz w:val="17"/>
          <w:szCs w:val="17"/>
          <w:color w:val="auto"/>
        </w:rPr>
        <w:t>Income tax expense decreased $6.4 million, for the thirteen weeks ended November 30, 2019 compared to the thirteen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weeks ended November 24, 2018. The decrease in our income tax expense is primarily driven by non-deductible transaction costs, the one-time tax impact of the settlement of the TRA liability during the thirteen week period ended November 24, 2018, and other permanent differences.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increased $5.1 million, or 19.1%, for the thirteen weeks ended November 30, 2019 compared to the thirteen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November 24, 2018. The increase is primarily due to higher gross profit and the Acquisition of Quest, partially offset by higher operating expenses adjusted for business transaction costs. For a reconciliation of Adjusted EBITDA to its most directly comparable GAAP measure, see “Reconciliation of Adjusted EBITDA”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Reconciliation of Adjusted EBITDA</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Adjusted EBITDA</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Adjusted EBITDA is a non-GAAP financial measure commonly used in our industry and should not be construed as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alternative to net (loss) income as an indicator of operating performance or as an alternative to cash flow provided by operating activities as a measure of liquidity (each as determined in accordance with GAAP). Simply Good Foods defines Adjusted EBITDA (earnings before interest, tax, depreciation, and amortization) as net (loss) income before interest income, interest expense, income tax expense (benefit), depreciation and amortization with further adjustments to exclude the following items: business transaction costs, stock-based compensation expense, inventory step-up, integration costs, non-core legal costs, loss in fair value change of contingent consideration - TRA liability, gain on settlement of TRA liability and other non-core expenses. The Company believes that the inclusion of these supplementary adjustments in presenting Adjusted EBITDA, when used in conjunction with net (loss) income, are appropriate to provide additional information to investors, reflects more accurately operating results of the on-going operations, enhances the overall understanding of past financial performance and future prospects and allows for greater transparency with respect to the key metrics the Company uses in its financial and operational decision making. The Company also believes that Adjusted EBITDA is frequently used by securities analysts, investors and other interested parties in the evaluation of companies in its industry</w:t>
      </w:r>
      <w:r>
        <w:rPr>
          <w:rFonts w:ascii="Arial" w:cs="Arial" w:eastAsia="Arial" w:hAnsi="Arial"/>
          <w:sz w:val="17"/>
          <w:szCs w:val="17"/>
          <w:i w:val="1"/>
          <w:iCs w:val="1"/>
          <w:color w:val="auto"/>
        </w:rPr>
        <w:t>.</w:t>
      </w:r>
      <w:r>
        <w:rPr>
          <w:rFonts w:ascii="Arial" w:cs="Arial" w:eastAsia="Arial" w:hAnsi="Arial"/>
          <w:sz w:val="17"/>
          <w:szCs w:val="17"/>
          <w:color w:val="auto"/>
        </w:rPr>
        <w:t xml:space="preserve"> Adjusted EBITDA may not be comparable to other similarly titled captions of other companies due to differences in the non-GAAP calculation.</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unaudited tables below provide a reconciliation of Adjusted EBITDA to its most directly comparable GAAP measure, which is net (loss) income, for the thirteen weeks ended November 30, 2019 and November 24, 2018:</w:t>
      </w:r>
    </w:p>
    <w:p>
      <w:pPr>
        <w:spacing w:after="0" w:line="11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Adjusted EBITDA Reconciliation:</w:t>
            </w:r>
          </w:p>
        </w:tc>
        <w:tc>
          <w:tcPr>
            <w:tcW w:w="440" w:type="dxa"/>
            <w:vAlign w:val="bottom"/>
          </w:tcPr>
          <w:p>
            <w:pPr>
              <w:spacing w:after="0"/>
              <w:rPr>
                <w:sz w:val="17"/>
                <w:szCs w:val="17"/>
                <w:color w:val="auto"/>
              </w:rPr>
            </w:pPr>
          </w:p>
        </w:tc>
        <w:tc>
          <w:tcPr>
            <w:tcW w:w="1940" w:type="dxa"/>
            <w:vAlign w:val="bottom"/>
            <w:gridSpan w:val="3"/>
          </w:tcPr>
          <w:p>
            <w:pPr>
              <w:jc w:val="right"/>
              <w:ind w:right="39"/>
              <w:spacing w:after="0"/>
              <w:rPr>
                <w:sz w:val="20"/>
                <w:szCs w:val="20"/>
                <w:color w:val="auto"/>
              </w:rPr>
            </w:pPr>
            <w:r>
              <w:rPr>
                <w:rFonts w:ascii="Arial" w:cs="Arial" w:eastAsia="Arial" w:hAnsi="Arial"/>
                <w:sz w:val="16"/>
                <w:szCs w:val="16"/>
                <w:color w:val="auto"/>
              </w:rPr>
              <w:t>Thirteen Weeks Ended</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69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6980" w:type="dxa"/>
            <w:vAlign w:val="bottom"/>
            <w:vMerge w:val="continue"/>
          </w:tcPr>
          <w:p>
            <w:pPr>
              <w:spacing w:after="0"/>
              <w:rPr>
                <w:sz w:val="11"/>
                <w:szCs w:val="11"/>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6"/>
                <w:szCs w:val="16"/>
                <w:color w:val="auto"/>
              </w:rPr>
              <w:t>November 30, 2019</w:t>
            </w:r>
          </w:p>
        </w:tc>
        <w:tc>
          <w:tcPr>
            <w:tcW w:w="146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w w:val="95"/>
              </w:rPr>
              <w:t>November 24, 2018</w:t>
            </w:r>
          </w:p>
        </w:tc>
        <w:tc>
          <w:tcPr>
            <w:tcW w:w="0" w:type="dxa"/>
            <w:vAlign w:val="bottom"/>
          </w:tcPr>
          <w:p>
            <w:pPr>
              <w:spacing w:after="0"/>
              <w:rPr>
                <w:sz w:val="1"/>
                <w:szCs w:val="1"/>
                <w:color w:val="auto"/>
              </w:rPr>
            </w:pPr>
          </w:p>
        </w:tc>
      </w:tr>
      <w:tr>
        <w:trPr>
          <w:trHeight w:val="81"/>
        </w:trPr>
        <w:tc>
          <w:tcPr>
            <w:tcW w:w="6980" w:type="dxa"/>
            <w:vAlign w:val="bottom"/>
          </w:tcPr>
          <w:p>
            <w:pPr>
              <w:spacing w:after="0"/>
              <w:rPr>
                <w:sz w:val="7"/>
                <w:szCs w:val="7"/>
                <w:color w:val="auto"/>
              </w:rPr>
            </w:pPr>
          </w:p>
        </w:tc>
        <w:tc>
          <w:tcPr>
            <w:tcW w:w="1580" w:type="dxa"/>
            <w:vAlign w:val="bottom"/>
            <w:gridSpan w:val="3"/>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69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15,257</w:t>
            </w: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3,261</w:t>
            </w: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4,625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2,525</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17"/>
        </w:trPr>
        <w:tc>
          <w:tcPr>
            <w:tcW w:w="6980" w:type="dxa"/>
            <w:vAlign w:val="bottom"/>
          </w:tcPr>
          <w:p>
            <w:pPr>
              <w:ind w:left="20"/>
              <w:spacing w:after="0"/>
              <w:rPr>
                <w:sz w:val="20"/>
                <w:szCs w:val="20"/>
                <w:color w:val="auto"/>
              </w:rPr>
            </w:pPr>
            <w:r>
              <w:rPr>
                <w:rFonts w:ascii="Arial" w:cs="Arial" w:eastAsia="Arial" w:hAnsi="Arial"/>
                <w:sz w:val="16"/>
                <w:szCs w:val="16"/>
                <w:color w:val="auto"/>
              </w:rPr>
              <w:t>EBITDA</w:t>
            </w: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24,248</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Business transaction costs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26,159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237"/>
        </w:trPr>
        <w:tc>
          <w:tcPr>
            <w:tcW w:w="698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1,673</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Inventory step-up</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980" w:type="dxa"/>
            <w:vAlign w:val="bottom"/>
          </w:tcPr>
          <w:p>
            <w:pPr>
              <w:ind w:left="140"/>
              <w:spacing w:after="0"/>
              <w:rPr>
                <w:sz w:val="20"/>
                <w:szCs w:val="20"/>
                <w:color w:val="auto"/>
              </w:rPr>
            </w:pPr>
            <w:r>
              <w:rPr>
                <w:rFonts w:ascii="Arial" w:cs="Arial" w:eastAsia="Arial" w:hAnsi="Arial"/>
                <w:sz w:val="16"/>
                <w:szCs w:val="16"/>
                <w:color w:val="auto"/>
              </w:rPr>
              <w:t>Integration of Quest</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1,438</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Non-core legal costs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37"/>
        </w:trPr>
        <w:tc>
          <w:tcPr>
            <w:tcW w:w="6980" w:type="dxa"/>
            <w:vAlign w:val="bottom"/>
          </w:tcPr>
          <w:p>
            <w:pPr>
              <w:ind w:left="140"/>
              <w:spacing w:after="0"/>
              <w:rPr>
                <w:sz w:val="20"/>
                <w:szCs w:val="20"/>
                <w:color w:val="auto"/>
              </w:rPr>
            </w:pPr>
            <w:r>
              <w:rPr>
                <w:rFonts w:ascii="Arial" w:cs="Arial" w:eastAsia="Arial" w:hAnsi="Arial"/>
                <w:sz w:val="16"/>
                <w:szCs w:val="16"/>
                <w:color w:val="auto"/>
              </w:rPr>
              <w:t>Loss in fair value change of contingent consideration - TRA liability</w:t>
            </w:r>
          </w:p>
        </w:tc>
        <w:tc>
          <w:tcPr>
            <w:tcW w:w="4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Gain on settlement of TRA liability</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31,795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8890</wp:posOffset>
            </wp:positionV>
            <wp:extent cx="19208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ind w:left="260" w:hanging="171"/>
        <w:spacing w:after="0"/>
        <w:tabs>
          <w:tab w:leader="none" w:pos="26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Other items consist principally of exchange impact of foreign currency transactions, frozen licensing media and other expenses.</w:t>
      </w:r>
    </w:p>
    <w:p>
      <w:pPr>
        <w:spacing w:after="0" w:line="383" w:lineRule="exact"/>
        <w:rPr>
          <w:rFonts w:ascii="Arial" w:cs="Arial" w:eastAsia="Arial" w:hAnsi="Arial"/>
          <w:sz w:val="19"/>
          <w:szCs w:val="19"/>
          <w:color w:val="auto"/>
          <w:vertAlign w:val="superscript"/>
        </w:rPr>
      </w:pPr>
    </w:p>
    <w:p>
      <w:pPr>
        <w:ind w:left="5620"/>
        <w:spacing w:after="0"/>
        <w:rPr>
          <w:rFonts w:ascii="Arial" w:cs="Arial" w:eastAsia="Arial" w:hAnsi="Arial"/>
          <w:sz w:val="19"/>
          <w:szCs w:val="19"/>
          <w:color w:val="auto"/>
          <w:vertAlign w:val="superscript"/>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Reconciliation of Adjusted Diluted Earnings Per Share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Adjusted Diluted Earnings per Share</w:t>
      </w:r>
      <w:r>
        <w:rPr>
          <w:rFonts w:ascii="Arial" w:cs="Arial" w:eastAsia="Arial" w:hAnsi="Arial"/>
          <w:sz w:val="17"/>
          <w:szCs w:val="17"/>
          <w:color w:val="auto"/>
        </w:rPr>
        <w:t>. Adjusted Diluted Earnings per Share is a non-GAAP financial measure commonly used in our industry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should not be construed as an alternative to diluted earnings per share as an indicator of operating performance. Simply Good Foods defines Adjusted Diluted Earnings Per Share as diluted earnings (loss) per share before depreciation and amortization, business transaction costs, stock-based compensation expense, inventory step-up, integration costs, non-core legal costs, change in fair value of contingent consideration - TRA liability, gain on settlement of TRA liability and other non-core expenses, on a theoretical tax effected basis of such adjustments at an assumed statutory rate. The Company believes that the inclusion of these supplementary adjustments in presenting Adjusted Diluted Earnings per Share, when used in conjunction with diluted earnings per share, are appropriate to provide additional information to investors, reflects more accurately operating results of the on-going operations, enhances the overall understanding of past financial performance and future prospects and allows for greater transparency with respect to the key metrics the Company uses in its financial and operational decision making. The Company also believes that Adjusted Diluted Earnings per Share is frequently used by securities analysts, investors and other interested parties in the evaluation of companies in its industry</w:t>
      </w:r>
      <w:r>
        <w:rPr>
          <w:rFonts w:ascii="Arial" w:cs="Arial" w:eastAsia="Arial" w:hAnsi="Arial"/>
          <w:sz w:val="17"/>
          <w:szCs w:val="17"/>
          <w:i w:val="1"/>
          <w:iCs w:val="1"/>
          <w:color w:val="auto"/>
        </w:rPr>
        <w:t>.</w:t>
      </w:r>
      <w:r>
        <w:rPr>
          <w:rFonts w:ascii="Arial" w:cs="Arial" w:eastAsia="Arial" w:hAnsi="Arial"/>
          <w:sz w:val="17"/>
          <w:szCs w:val="17"/>
          <w:color w:val="auto"/>
        </w:rPr>
        <w:t xml:space="preserve"> Adjusted Diluted Earnings per Share may not be comparable to other similarly titled captions of other companies due to differences in the non-GAAP calculation.</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unaudited tables below provide a reconciliation of Adjusted Diluted Earnings Per Share to its most directly comparable GAAP measure, which is diluted earnings per share, for the thirteen weeks ended November 30, 2019 and November 24, 2018:</w:t>
      </w:r>
    </w:p>
    <w:p>
      <w:pPr>
        <w:spacing w:after="0" w:line="134" w:lineRule="exact"/>
        <w:rPr>
          <w:sz w:val="20"/>
          <w:szCs w:val="20"/>
          <w:color w:val="auto"/>
        </w:rPr>
      </w:pPr>
    </w:p>
    <w:tbl>
      <w:tblPr>
        <w:tblLayout w:type="fixed"/>
        <w:tblInd w:w="840" w:type="dxa"/>
        <w:tblCellMar>
          <w:top w:w="0" w:type="dxa"/>
          <w:left w:w="0" w:type="dxa"/>
          <w:bottom w:w="0" w:type="dxa"/>
          <w:right w:w="0" w:type="dxa"/>
        </w:tblCellMar>
      </w:tblPr>
      <w:tr>
        <w:trPr>
          <w:trHeight w:val="206"/>
        </w:trPr>
        <w:tc>
          <w:tcPr>
            <w:tcW w:w="6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0" w:type="dxa"/>
            <w:vAlign w:val="bottom"/>
            <w:gridSpan w:val="3"/>
          </w:tcPr>
          <w:p>
            <w:pPr>
              <w:jc w:val="right"/>
              <w:ind w:right="99"/>
              <w:spacing w:after="0"/>
              <w:rPr>
                <w:sz w:val="20"/>
                <w:szCs w:val="20"/>
                <w:color w:val="auto"/>
              </w:rPr>
            </w:pPr>
            <w:r>
              <w:rPr>
                <w:rFonts w:ascii="Arial" w:cs="Arial" w:eastAsia="Arial" w:hAnsi="Arial"/>
                <w:sz w:val="16"/>
                <w:szCs w:val="16"/>
                <w:color w:val="auto"/>
              </w:rPr>
              <w:t>Thirteen Weeks Ended</w:t>
            </w:r>
          </w:p>
        </w:tc>
        <w:tc>
          <w:tcPr>
            <w:tcW w:w="600" w:type="dxa"/>
            <w:vAlign w:val="bottom"/>
          </w:tcPr>
          <w:p>
            <w:pPr>
              <w:spacing w:after="0"/>
              <w:rPr>
                <w:sz w:val="17"/>
                <w:szCs w:val="17"/>
                <w:color w:val="auto"/>
              </w:rPr>
            </w:pPr>
          </w:p>
        </w:tc>
      </w:tr>
      <w:tr>
        <w:trPr>
          <w:trHeight w:val="33"/>
        </w:trPr>
        <w:tc>
          <w:tcPr>
            <w:tcW w:w="698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1580" w:type="dxa"/>
            <w:vAlign w:val="bottom"/>
            <w:gridSpan w:val="3"/>
          </w:tcPr>
          <w:p>
            <w:pPr>
              <w:ind w:left="80"/>
              <w:spacing w:after="0"/>
              <w:rPr>
                <w:sz w:val="20"/>
                <w:szCs w:val="20"/>
                <w:color w:val="auto"/>
              </w:rPr>
            </w:pPr>
            <w:r>
              <w:rPr>
                <w:rFonts w:ascii="Arial" w:cs="Arial" w:eastAsia="Arial" w:hAnsi="Arial"/>
                <w:sz w:val="16"/>
                <w:szCs w:val="16"/>
                <w:color w:val="auto"/>
              </w:rPr>
              <w:t>November 30, 2019</w:t>
            </w:r>
          </w:p>
        </w:tc>
        <w:tc>
          <w:tcPr>
            <w:tcW w:w="1460" w:type="dxa"/>
            <w:vAlign w:val="bottom"/>
            <w:gridSpan w:val="2"/>
          </w:tcPr>
          <w:p>
            <w:pPr>
              <w:jc w:val="right"/>
              <w:ind w:right="19"/>
              <w:spacing w:after="0"/>
              <w:rPr>
                <w:sz w:val="20"/>
                <w:szCs w:val="20"/>
                <w:color w:val="auto"/>
              </w:rPr>
            </w:pPr>
            <w:r>
              <w:rPr>
                <w:rFonts w:ascii="Arial" w:cs="Arial" w:eastAsia="Arial" w:hAnsi="Arial"/>
                <w:sz w:val="16"/>
                <w:szCs w:val="16"/>
                <w:color w:val="auto"/>
                <w:w w:val="95"/>
              </w:rPr>
              <w:t>November 24, 2018</w:t>
            </w:r>
          </w:p>
        </w:tc>
      </w:tr>
      <w:tr>
        <w:trPr>
          <w:trHeight w:val="47"/>
        </w:trPr>
        <w:tc>
          <w:tcPr>
            <w:tcW w:w="69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0.18</w:t>
            </w:r>
          </w:p>
        </w:tc>
      </w:tr>
      <w:tr>
        <w:trPr>
          <w:trHeight w:val="270"/>
        </w:trPr>
        <w:tc>
          <w:tcPr>
            <w:tcW w:w="6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r>
      <w:tr>
        <w:trPr>
          <w:trHeight w:val="237"/>
        </w:trPr>
        <w:tc>
          <w:tcPr>
            <w:tcW w:w="6980" w:type="dxa"/>
            <w:vAlign w:val="bottom"/>
          </w:tcPr>
          <w:p>
            <w:pPr>
              <w:ind w:left="20"/>
              <w:spacing w:after="0"/>
              <w:rPr>
                <w:sz w:val="20"/>
                <w:szCs w:val="20"/>
                <w:color w:val="auto"/>
              </w:rPr>
            </w:pPr>
            <w:r>
              <w:rPr>
                <w:rFonts w:ascii="Arial" w:cs="Arial" w:eastAsia="Arial" w:hAnsi="Arial"/>
                <w:sz w:val="16"/>
                <w:szCs w:val="16"/>
                <w:color w:val="auto"/>
              </w:rPr>
              <w:t>Business transaction costs</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0.01</w:t>
            </w:r>
          </w:p>
        </w:tc>
      </w:tr>
      <w:tr>
        <w:trPr>
          <w:trHeight w:val="33"/>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r>
      <w:tr>
        <w:trPr>
          <w:trHeight w:val="237"/>
        </w:trPr>
        <w:tc>
          <w:tcPr>
            <w:tcW w:w="6980" w:type="dxa"/>
            <w:vAlign w:val="bottom"/>
          </w:tcPr>
          <w:p>
            <w:pPr>
              <w:ind w:left="20"/>
              <w:spacing w:after="0"/>
              <w:rPr>
                <w:sz w:val="20"/>
                <w:szCs w:val="20"/>
                <w:color w:val="auto"/>
              </w:rPr>
            </w:pPr>
            <w:r>
              <w:rPr>
                <w:rFonts w:ascii="Arial" w:cs="Arial" w:eastAsia="Arial" w:hAnsi="Arial"/>
                <w:sz w:val="16"/>
                <w:szCs w:val="16"/>
                <w:color w:val="auto"/>
              </w:rPr>
              <w:t>Inventory step-up</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Integration of Quest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980" w:type="dxa"/>
            <w:vAlign w:val="bottom"/>
          </w:tcPr>
          <w:p>
            <w:pPr>
              <w:ind w:left="20"/>
              <w:spacing w:after="0"/>
              <w:rPr>
                <w:sz w:val="20"/>
                <w:szCs w:val="20"/>
                <w:color w:val="auto"/>
              </w:rPr>
            </w:pPr>
            <w:r>
              <w:rPr>
                <w:rFonts w:ascii="Arial" w:cs="Arial" w:eastAsia="Arial" w:hAnsi="Arial"/>
                <w:sz w:val="16"/>
                <w:szCs w:val="16"/>
                <w:color w:val="auto"/>
              </w:rPr>
              <w:t>Non-core legal costs</w:t>
            </w:r>
          </w:p>
        </w:tc>
        <w:tc>
          <w:tcPr>
            <w:tcW w:w="4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0.01</w:t>
            </w:r>
          </w:p>
        </w:tc>
      </w:tr>
      <w:tr>
        <w:trPr>
          <w:trHeight w:val="33"/>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(gain) in fair value change of contingent consideration - TRA liability</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980" w:type="dxa"/>
            <w:vAlign w:val="bottom"/>
          </w:tcPr>
          <w:p>
            <w:pPr>
              <w:ind w:left="20"/>
              <w:spacing w:after="0"/>
              <w:rPr>
                <w:sz w:val="20"/>
                <w:szCs w:val="20"/>
                <w:color w:val="auto"/>
              </w:rPr>
            </w:pPr>
            <w:r>
              <w:rPr>
                <w:rFonts w:ascii="Arial" w:cs="Arial" w:eastAsia="Arial" w:hAnsi="Arial"/>
                <w:sz w:val="16"/>
                <w:szCs w:val="16"/>
                <w:color w:val="auto"/>
              </w:rPr>
              <w:t>Gain on settlement of TRA liability</w:t>
            </w:r>
          </w:p>
        </w:tc>
        <w:tc>
          <w:tcPr>
            <w:tcW w:w="4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33"/>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4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980" w:type="dxa"/>
            <w:vAlign w:val="bottom"/>
          </w:tcPr>
          <w:p>
            <w:pPr>
              <w:ind w:left="20"/>
              <w:spacing w:after="0"/>
              <w:rPr>
                <w:sz w:val="20"/>
                <w:szCs w:val="20"/>
                <w:color w:val="auto"/>
              </w:rPr>
            </w:pPr>
            <w:r>
              <w:rPr>
                <w:rFonts w:ascii="Arial" w:cs="Arial" w:eastAsia="Arial" w:hAnsi="Arial"/>
                <w:sz w:val="16"/>
                <w:szCs w:val="16"/>
                <w:color w:val="auto"/>
              </w:rPr>
              <w:t>Net loss impact on diluted earnings per share</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diluted earnings per share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8890</wp:posOffset>
            </wp:positionV>
            <wp:extent cx="19208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ind w:left="260" w:hanging="171"/>
        <w:spacing w:after="0"/>
        <w:tabs>
          <w:tab w:leader="none" w:pos="26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Other items consist principally of exchange impact of foreign currency transactions, frozen licensing media and other expenses.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historically funded our operations with cash flow from operations and, when needed, with borrowings under our credit facilities. Our principal uses of cash have been debt service and working capital.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$72.7 million in cash and cash equivalents as of November 30, 2019. We believe our sources of liquidity and capital will be sufficient to finance our continued operations, growth strategy and additional expenses we expect to incur for at least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July 7, 2017, the Company entered into a credit agreement with Barclays Bank PLC and other parties (the “Credit Agreement”). The Credit Agreement provides for (i) a term facility of $200.0 million (“Term Facility”) with a seven year maturity and (ii) a revolving credit facility of up to $75.0 million (the “Revolving Credit Facility”) with a five year maturity. Substantially concurrent with the consummation of the Acquisition of Atkins, the full $200.0 million of the Term Facility (the “Term Loan”) was drawn. The interest rate per annum was based on either (i) a base rate equaling the higher of (a) the “prime rate”, (b) the federal funds effective rate plus 0.50% and (c) the Euro-currency rate applicable for an interest period of one month plus 1.00% plus</w:t>
      </w:r>
    </w:p>
    <w:p>
      <w:pPr>
        <w:spacing w:after="0" w:line="2" w:lineRule="exact"/>
        <w:rPr>
          <w:sz w:val="20"/>
          <w:szCs w:val="20"/>
          <w:color w:val="auto"/>
        </w:rPr>
      </w:pPr>
    </w:p>
    <w:p>
      <w:pPr>
        <w:jc w:val="both"/>
        <w:ind w:right="20" w:firstLine="8"/>
        <w:spacing w:after="0" w:line="277" w:lineRule="auto"/>
        <w:tabs>
          <w:tab w:leader="none" w:pos="2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3.00% margin for the Term Loan or (y) 2.00% margin for the Revolving Credit Facility, or (ii) London Interbank Offered Rate (“LIBOR”) adjusted for statutory reserve requirements, plus (x) 4.00% margin for the Term Loan subject to a floor of 1.00% or (y) 3.00% margin for the Revolving Credit Facility. As security for the payment or performance of its debt, the Company has pledged certain equity interests in its subsidiaries.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29" w:name="page30"/>
    <w:bookmarkEnd w:id="29"/>
    <w:p>
      <w:pPr>
        <w:jc w:val="both"/>
        <w:ind w:firstLine="648"/>
        <w:spacing w:after="0" w:line="291" w:lineRule="auto"/>
        <w:rPr>
          <w:sz w:val="20"/>
          <w:szCs w:val="20"/>
          <w:color w:val="auto"/>
        </w:rPr>
      </w:pPr>
      <w:r>
        <w:rPr>
          <w:rFonts w:ascii="Arial" w:cs="Arial" w:eastAsia="Arial" w:hAnsi="Arial"/>
          <w:sz w:val="16"/>
          <w:szCs w:val="16"/>
          <w:color w:val="auto"/>
        </w:rPr>
        <w:t>On March 16, 2018 (the “Amendment Date”), the Company entered into an amendment (the “Repricing Amendment”) to the Credit Agreement. As a result of the Repricing Amendment, the interest rate on the Term Loan was reduced and, as of the Amendment Date, such loans had an interest rate equal to, at the Company’s option, either LIBOR plus an applicable margin of 3.50% or a base rate plus an applicable margin of 2.50%. The Repricing Amendment did not change the interest rate on the Revolving Credit Facility. The Revolving Credit Facility continued to bear interest based upon the Company’s consolidated net leverage ratio as of the last financial statements delivered to the administrative agent. No additional debt was incurred, or any proceeds received, by the Company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November 7, 2019, the Company entered into an Amendment No. 2 to the Credit Agreement with Barclays Bank (the “Credit Agreement Amendment”). Pursuant to the Credit Agreement Amendment, the Borrowers established an incremental term facility, which increased the Applicable Rate (as defined in the Credit Agreement) with respect to the Initial Term Loans (as defined in the Credit Agreement) outstanding immediately prior to November 7, 2019 (the “Existing Term Loans”) to equal the Applicable Rate with respect to the 2019 Incremental Term Loans (as defined in the Credit Agreement). The proceeds of the 2019 Incremental Term Loans received by the Borrowers were used to fund, in part the obligations under the Purchase Agreement and outstanding indebtedness of the Target Companies and their subsidiaries.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Applicable Rate per annum applicable to the loans under the Credit Agreement Amendment is (i) prior to the Amendment No. 2 Effective Date (as defined in the Credit Agreement), with respect to any Initial Term Loan that is an ABR Loan, 2.50% per annum, and with respect to any Initial Term Loan that is a Eurodollar Loan (as defined in the Credit Agreement), 3.50% per annum, and (ii) on and after the Amendment No. 2 Effective Date, with respect to any Initial Term Loan that is an ABR Loan (as defined in the Credit Agreement), 2.75% per annum, and with respect to any Initial Term Loan that is a Eurodollar Loan, 3.75% per annum. The 2019 Incremental Term Loans will mature on the maturity date applicable to the Initial Term Loans, which date is July 7, 2024.</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6.25:1.00 (with a reduction to 6.00:1.00 on and after the third anniversary of the closing date of the Credit Agreement) contingent on credit extensions in excess of 30% of the total amount of commitments available under the Revolving Credit Facility. Any failure to comply with the restrictions of the Credit Agreement may result in an event of default. The Company was in compliance with all financial covenants under the Credit Agreement as of November 30, 2019 and August 31, 2019.</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November 30, 2019, the outstanding principal balance of the Term Loan was $655.5 million and there were no cash amounts drawn against the Revolving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9, 2019, we completed an underwritten public offering of 13,379,205 shares of our common stock at a price to the public of $26.35 per share. The Company paid underwriting discounts and commissions of $0.19 per share resulting in net proceeds to us of $26.16 per share (the “Offering”), or approximately $350.0 million. The Company paid $0.8 million for legal, accounting and registrations fees related to the Offering. The net proceeds were used to pay a portion of the purchase price and related fees and expenses for the Acquisition of Quest.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Quest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August 21, 2019, Atkins entered into the Purchase Agreement with the Target Companies, VMG Voyage Holdings, LLC, VMG Tax-Exempt II, L.P., Voyage Employee Holdings, LLC, and other sellers defined in the Purchase Agreement. On November 7, 2019, pursuant to the Purchase Agreement, Atkins completed the Acquisition of Quest for a cash purchase price at closing of $988.9 million, subject to customary post closing adjustments.</w:t>
      </w:r>
    </w:p>
    <w:p>
      <w:pPr>
        <w:spacing w:after="0" w:line="14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Acquisition of Quest was funded by the Company through a combination of cash, equity and debt financing. Total consideration paid on the closing date was $988.9 million. Cash sources of funding included $195.3 million of cash on hand, net proceeds of approximately $350.0 million from the Offering, and $443.6 million of new term loan debt from borrowings under the Incremental Facility Amendment. Included within the Business transaction costs line item of the Condensed Consolidated Statements of Operations and Comprehensive (Loss) Income as of November 30, 2019 are $14.5 million of transaction advisory fees related to the Acquisition of Quest, $3.2 million of unused banker commitment fees, $6.1 million of non-deferrable debt issuance costs for the Incremental Facility Amendment, and $2.3 million of other costs including legal, due diligence, and accounting fees.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0" w:name="page31"/>
    <w:bookmarkEnd w:id="30"/>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From August 26, 2018 through October 5, 2018, public warrants to purchase an aggregate of 9,866,451 shares of the Company’s common stock were exercised for cash at an exercise price of $11.50 per share, resulting in aggregate gross proceeds to the Company of $113.5 million.</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October 4, 2018, the Company delivered a notice for the redemption (the “Redemption Notice”) of all of its public warrants that remained unexercised immediately after November 5, 2018. Holders who exercised public warrants following the Redemption Notice were required to do so on a cashless basis. Accordingly, holders were no longer permitted to exercise public warrants in exchange for payment in cash of $11.50 per share. Instead, a holder exercising a public warrant was deemed to have paid the $11.50 per share exercise price by the surrender of 0.61885 of a share of common stock that the holder would have been entitled to receive upon a cash exercise of each public warrant. Exercising holders received 0.38115 of a share of the Company’s common stock for each public warrant surrendered for exercise. Following the Redemption Notice, 3,499,639 public warrants were exercised on a cashless basis. An aggregate of 1,333,848 shares of the Company’s common stock were issued in connection with these exercises of the public warrants. All remaining public warrants were redeemed as of November 5, 2018 for an immaterial amount.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private warrants to purchase 6,700,000 shares of common stock remain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major sources and uses of cash for each of the periods set forth below (in thousands):</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6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4"/>
          </w:tcPr>
          <w:p>
            <w:pPr>
              <w:jc w:val="right"/>
              <w:ind w:right="779"/>
              <w:spacing w:after="0"/>
              <w:rPr>
                <w:sz w:val="20"/>
                <w:szCs w:val="20"/>
                <w:color w:val="auto"/>
              </w:rPr>
            </w:pPr>
            <w:r>
              <w:rPr>
                <w:rFonts w:ascii="Arial" w:cs="Arial" w:eastAsia="Arial" w:hAnsi="Arial"/>
                <w:sz w:val="16"/>
                <w:szCs w:val="16"/>
                <w:color w:val="auto"/>
              </w:rPr>
              <w:t>Thirteen Weeks Ended</w:t>
            </w:r>
          </w:p>
        </w:tc>
      </w:tr>
      <w:tr>
        <w:trPr>
          <w:trHeight w:val="47"/>
        </w:trPr>
        <w:tc>
          <w:tcPr>
            <w:tcW w:w="68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31"/>
        </w:trPr>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6"/>
                <w:szCs w:val="16"/>
                <w:color w:val="auto"/>
              </w:rPr>
              <w:t>November 30, 2019</w:t>
            </w:r>
          </w:p>
        </w:tc>
        <w:tc>
          <w:tcPr>
            <w:tcW w:w="10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w w:val="91"/>
              </w:rPr>
              <w:t>November 24, 2018</w:t>
            </w:r>
          </w:p>
        </w:tc>
      </w:tr>
      <w:tr>
        <w:trPr>
          <w:trHeight w:val="33"/>
        </w:trPr>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6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cash (used in)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12,948</w:t>
            </w:r>
          </w:p>
        </w:tc>
      </w:tr>
      <w:tr>
        <w:trPr>
          <w:trHeight w:val="237"/>
        </w:trPr>
        <w:tc>
          <w:tcPr>
            <w:tcW w:w="6840" w:type="dxa"/>
            <w:vAlign w:val="bottom"/>
          </w:tcPr>
          <w:p>
            <w:pPr>
              <w:ind w:left="6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(985,731)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(494)</w:t>
            </w:r>
          </w:p>
        </w:tc>
      </w:tr>
      <w:tr>
        <w:trPr>
          <w:trHeight w:val="33"/>
        </w:trPr>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68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cash provided by financing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800,071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86,549</w:t>
            </w:r>
          </w:p>
        </w:tc>
      </w:tr>
      <w:tr>
        <w:trPr>
          <w:trHeight w:val="33"/>
        </w:trPr>
        <w:tc>
          <w:tcPr>
            <w:tcW w:w="6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net cash used in operating activities was $7.9 million for the period ended November 30, 2019, an increase in cash used of</w:t>
      </w:r>
      <w:r>
        <w:rPr>
          <w:rFonts w:ascii="Arial" w:cs="Arial" w:eastAsia="Arial" w:hAnsi="Arial"/>
          <w:sz w:val="18"/>
          <w:szCs w:val="18"/>
          <w:i w:val="1"/>
          <w:iCs w:val="1"/>
          <w:color w:val="auto"/>
        </w:rPr>
        <w:t xml:space="preserve"> </w:t>
      </w:r>
      <w:r>
        <w:rPr>
          <w:rFonts w:ascii="Arial" w:cs="Arial" w:eastAsia="Arial" w:hAnsi="Arial"/>
          <w:sz w:val="18"/>
          <w:szCs w:val="18"/>
          <w:color w:val="auto"/>
        </w:rPr>
        <w:t>$20.9 million, compared to net cash provided by operating activities of $12.9 million for the period ended November 24, 2018. The increase in cash used was primarily driven by significant business transaction costs, changes in working capital and the Acquisition of Quest.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net cash used in investing activities was $985.7 million for the period ended November 30, 2019, which was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used of $985.2 million compared to cash used in the investing activities of the Company for the period ended November 24, 2018. The increase is primarily due to the Acquisition of Quest of $984.2 million, net of cash acquired.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Our net cash provided by financing activities was $800.1 million for the period ended November 30, 2019,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financing activities of $86.5 million for the period ended November 24, 2018. Net cash provided by financing activities for the period ended November 30, 2019 includes gross proceeds of $352.5 million from the Company's Offering offset by issuance costs of $3.3 million and proceeds from the term loan borrowing of $460.0 million offset by issuance costs of $8.2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7, 2019, the Company entered the Incremental Facility Amendment to increase the principal borrowed under the Term Facility by $460.0 million. In addition, as a result of the Acquisition of Quest, the Company incurred additional lease obligations. The Company's contractual obligations relating to debt and leases at November 30, 2019 are included in the table below.</w:t>
      </w:r>
    </w:p>
    <w:p>
      <w:pPr>
        <w:spacing w:after="0" w:line="145"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3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gridSpan w:val="6"/>
          </w:tcPr>
          <w:p>
            <w:pPr>
              <w:jc w:val="right"/>
              <w:ind w:right="19"/>
              <w:spacing w:after="0"/>
              <w:rPr>
                <w:sz w:val="20"/>
                <w:szCs w:val="20"/>
                <w:color w:val="auto"/>
              </w:rPr>
            </w:pPr>
            <w:r>
              <w:rPr>
                <w:rFonts w:ascii="Arial" w:cs="Arial" w:eastAsia="Arial" w:hAnsi="Arial"/>
                <w:sz w:val="16"/>
                <w:szCs w:val="16"/>
                <w:color w:val="auto"/>
                <w:w w:val="90"/>
              </w:rPr>
              <w:t>Payments due by period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3"/>
        </w:trPr>
        <w:tc>
          <w:tcPr>
            <w:tcW w:w="3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20"/>
                <w:szCs w:val="20"/>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Year 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color w:val="auto"/>
              </w:rPr>
              <w:t>Years 2-3</w:t>
            </w: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color w:val="auto"/>
              </w:rPr>
              <w:t>Years 4-5</w:t>
            </w:r>
          </w:p>
        </w:tc>
        <w:tc>
          <w:tcPr>
            <w:tcW w:w="200" w:type="dxa"/>
            <w:vAlign w:val="bottom"/>
          </w:tcPr>
          <w:p>
            <w:pPr>
              <w:spacing w:after="0"/>
              <w:rPr>
                <w:sz w:val="20"/>
                <w:szCs w:val="20"/>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Thereafter</w:t>
            </w:r>
          </w:p>
        </w:tc>
      </w:tr>
      <w:tr>
        <w:trPr>
          <w:trHeight w:val="33"/>
        </w:trPr>
        <w:tc>
          <w:tcPr>
            <w:tcW w:w="3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obligations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655,500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5,029</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637,059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480" w:type="dxa"/>
            <w:vAlign w:val="bottom"/>
          </w:tcPr>
          <w:p>
            <w:pPr>
              <w:ind w:left="20"/>
              <w:spacing w:after="0"/>
              <w:rPr>
                <w:sz w:val="20"/>
                <w:szCs w:val="20"/>
                <w:color w:val="auto"/>
              </w:rPr>
            </w:pPr>
            <w:r>
              <w:rPr>
                <w:rFonts w:ascii="Arial" w:cs="Arial" w:eastAsia="Arial" w:hAnsi="Arial"/>
                <w:sz w:val="16"/>
                <w:szCs w:val="16"/>
                <w:color w:val="auto"/>
              </w:rPr>
              <w:t>Interest payments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164,993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36,401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71,681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56,912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10,875</w:t>
            </w:r>
          </w:p>
        </w:tc>
      </w:tr>
      <w:tr>
        <w:trPr>
          <w:trHeight w:val="237"/>
        </w:trPr>
        <w:tc>
          <w:tcPr>
            <w:tcW w:w="3480" w:type="dxa"/>
            <w:vAlign w:val="bottom"/>
          </w:tcPr>
          <w:p>
            <w:pPr>
              <w:ind w:left="20"/>
              <w:spacing w:after="0"/>
              <w:rPr>
                <w:sz w:val="20"/>
                <w:szCs w:val="20"/>
                <w:color w:val="auto"/>
              </w:rPr>
            </w:pPr>
            <w:r>
              <w:rPr>
                <w:rFonts w:ascii="Arial" w:cs="Arial" w:eastAsia="Arial" w:hAnsi="Arial"/>
                <w:sz w:val="16"/>
                <w:szCs w:val="16"/>
                <w:color w:val="auto"/>
              </w:rPr>
              <w:t>Finance leases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854,569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47,366</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95,162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701,167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10,875</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November 30, 2019, there were no other material changes to our contractual obligations and commercial commitments outside the ordinary course of business. Refer to the Annual Report for additional information regarding our contractual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November 30, 2019, we had no material off-balance sheet arrangements that have or are reasonably likely to have a current or future material effect on its financial condition, changes in financial condition, income or expenses, results of operations, liquidity, capital expenditures or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718"/>
        <w:spacing w:after="0" w:line="257" w:lineRule="auto"/>
        <w:rPr>
          <w:sz w:val="20"/>
          <w:szCs w:val="20"/>
          <w:color w:val="auto"/>
        </w:rPr>
      </w:pPr>
      <w:r>
        <w:rPr>
          <w:rFonts w:ascii="Arial" w:cs="Arial" w:eastAsia="Arial" w:hAnsi="Arial"/>
          <w:sz w:val="18"/>
          <w:szCs w:val="18"/>
          <w:color w:val="auto"/>
        </w:rPr>
        <w:t>For a description of critical accounting policies that affect our significant judgments and estimates used in the preparation of our consolidated financial statements, refer to our Annual Report. The adoption of ASC Topic 842 resulted in a change to our lease accounting policy, as discussed in Note 9 of our condensed consolidated financial statements in this Report. There have been no other significant changes to our critical accounting policies since August 31, 2019. Refer to Note 2 of our unaudited interim condensed consolidated financial statements in this Report for further information regarding recently issued accounting standards.</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in our market risk exposure during the thirteen week period ended November 30, 2019. For a discussion of our market risks, see “Quantitative and Qualitative Disclosures About Market Risk” in Part II, Item 7A of our Annual Report.</w:t>
      </w:r>
    </w:p>
    <w:p>
      <w:pPr>
        <w:sectPr>
          <w:pgSz w:w="11900" w:h="16915" w:orient="portrait"/>
          <w:cols w:equalWidth="0" w:num="1">
            <w:col w:w="11420"/>
          </w:cols>
          <w:pgMar w:left="240" w:top="341" w:right="239" w:bottom="0" w:gutter="0" w:footer="0" w:header="0"/>
        </w:sectPr>
      </w:pPr>
    </w:p>
    <w:bookmarkStart w:id="31" w:name="page32"/>
    <w:bookmarkEnd w:id="31"/>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Management, including the participation of our Chief Executive Officer and our Chief Financial Officer, conducted an evaluation of the effectiveness of our disclosure controls and procedures as of the end of the period covered by this Report. Based on this evaluation, our Chief Executive Officer and Chief Financial Officer concluded that, as of November 30, 2019, the Company’s disclosure controls and procedures were effective.</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discussed above, on November 7, 2019, we completed the Acquisition of Quest. As such, the scope of our assessment of the effectiveness of our disclosure controls and procedures did not include the internal control over financial reporting of Quest and its affiliated entities. These exclusions are consistent with the SEC Staff’s guidance that an assessment of a recently acquired business may be omitted from the scope of our assessment of the effectiveness of disclosure controls and procedures that are also part of internal control over financial reporting in the 12 months following the acquisition. Quest and its affiliated entities accounted for 47.5% of our total assets and 11.2% of our net sales as of and for the thirteen weeks ended November 30, 2019.</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result of the Acquisition of Quest, we have commenced a project to evaluate the processes and procedures of Quest’s internal control over financial reporting and incorporate Quest’s internal control over financial reporting into our internal control over financial reporting framework. In addition, as a result of the Acquisition of Quest, we have implemented new processes and controls over accounting for an acquisition, including determining the fair value of the assets acquired, liabilities assumed and adjustments to the fair value of contingent consideration.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quarter ended November 30, 2019, we established new controls related to our accounting policies and procedures as part of our adoption of ASU No. 2016-02, Leases (Topic 842). These internal controls include controls around the determination of appropriate discount rates, lease terms, and other risks related to judgments made in lease classification and recognition.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for the activities described above, there were no changes in our internal control over financial reporting during the quarter ended November 30, 2019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Readers should carefully consider the factors discussed in Part I, Item 1A. “Risk Factors” in our Annual Report, which could materially affect our business, financial condition, cash flows or future results. There have been no material changes in our risk factors included in our Annual Report. The risks described in our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7"/>
                <w:szCs w:val="17"/>
                <w:color w:val="auto"/>
              </w:rPr>
            </w:pPr>
          </w:p>
        </w:tc>
        <w:tc>
          <w:tcPr>
            <w:tcW w:w="10460" w:type="dxa"/>
            <w:vAlign w:val="bottom"/>
            <w:gridSpan w:val="10"/>
          </w:tcPr>
          <w:p>
            <w:pPr>
              <w:spacing w:after="0"/>
              <w:rPr>
                <w:sz w:val="20"/>
                <w:szCs w:val="20"/>
                <w:color w:val="auto"/>
              </w:rPr>
            </w:pPr>
            <w:r>
              <w:rPr>
                <w:rFonts w:ascii="Arial" w:cs="Arial" w:eastAsia="Arial" w:hAnsi="Arial"/>
                <w:sz w:val="16"/>
                <w:szCs w:val="16"/>
                <w:b w:val="1"/>
                <w:bCs w:val="1"/>
                <w:color w:val="auto"/>
              </w:rPr>
              <w:t>Document</w:t>
            </w:r>
          </w:p>
        </w:tc>
      </w:tr>
      <w:tr>
        <w:trPr>
          <w:trHeight w:val="210"/>
        </w:trPr>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No.</w:t>
            </w:r>
          </w:p>
        </w:tc>
        <w:tc>
          <w:tcPr>
            <w:tcW w:w="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820" w:type="dxa"/>
            <w:vAlign w:val="bottom"/>
            <w:tcBorders>
              <w:bottom w:val="single" w:sz="8" w:color="CCEEFF"/>
            </w:tcBorders>
            <w:shd w:val="clear" w:color="auto" w:fill="CCEEFF"/>
          </w:tcPr>
          <w:p>
            <w:pPr>
              <w:ind w:left="40"/>
              <w:spacing w:after="0" w:line="183" w:lineRule="exact"/>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440" w:type="dxa"/>
            <w:vAlign w:val="bottom"/>
            <w:tcBorders>
              <w:bottom w:val="single" w:sz="8" w:color="0000FF"/>
            </w:tcBorders>
            <w:gridSpan w:val="9"/>
            <w:shd w:val="clear" w:color="auto" w:fill="CCEEFF"/>
          </w:tcPr>
          <w:p>
            <w:pPr>
              <w:spacing w:after="0" w:line="183" w:lineRule="exact"/>
              <w:rPr>
                <w:rFonts w:ascii="Arial" w:cs="Arial" w:eastAsia="Arial" w:hAnsi="Arial"/>
                <w:sz w:val="16"/>
                <w:szCs w:val="16"/>
                <w:color w:val="0000FF"/>
                <w:w w:val="95"/>
              </w:rPr>
            </w:pPr>
            <w:hyperlink r:id="rId25">
              <w:r>
                <w:rPr>
                  <w:rFonts w:ascii="Arial" w:cs="Arial" w:eastAsia="Arial" w:hAnsi="Arial"/>
                  <w:sz w:val="16"/>
                  <w:szCs w:val="16"/>
                  <w:color w:val="0000FF"/>
                  <w:w w:val="95"/>
                </w:rPr>
                <w:t>Amendment No. 2 (Incremental Facility Amendment), dated as of November 7, 2019, by and among Atkins Intermediate Holdings, LLC, a Delaware limited</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83"/>
        </w:trPr>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460" w:type="dxa"/>
            <w:vAlign w:val="bottom"/>
            <w:tcBorders>
              <w:bottom w:val="single" w:sz="8" w:color="0000FF"/>
            </w:tcBorders>
            <w:gridSpan w:val="10"/>
            <w:shd w:val="clear" w:color="auto" w:fill="CCEEFF"/>
          </w:tcPr>
          <w:p>
            <w:pPr>
              <w:spacing w:after="0" w:line="183" w:lineRule="exact"/>
              <w:rPr>
                <w:rFonts w:ascii="Arial" w:cs="Arial" w:eastAsia="Arial" w:hAnsi="Arial"/>
                <w:sz w:val="16"/>
                <w:szCs w:val="16"/>
                <w:color w:val="0000FF"/>
                <w:w w:val="96"/>
              </w:rPr>
            </w:pPr>
            <w:hyperlink r:id="rId25">
              <w:r>
                <w:rPr>
                  <w:rFonts w:ascii="Arial" w:cs="Arial" w:eastAsia="Arial" w:hAnsi="Arial"/>
                  <w:sz w:val="16"/>
                  <w:szCs w:val="16"/>
                  <w:color w:val="0000FF"/>
                  <w:w w:val="96"/>
                </w:rPr>
                <w:t>liability company, Conyers Park Acquisition Corp., a Delaware corporation, Atkins Nutritionals, Inc., a New York corporation, Atkins Nutritionals Holdings,</w:t>
              </w:r>
            </w:hyperlink>
          </w:p>
        </w:tc>
      </w:tr>
      <w:tr>
        <w:trPr>
          <w:trHeight w:val="183"/>
        </w:trPr>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440" w:type="dxa"/>
            <w:vAlign w:val="bottom"/>
            <w:tcBorders>
              <w:bottom w:val="single" w:sz="8" w:color="0000FF"/>
            </w:tcBorders>
            <w:gridSpan w:val="9"/>
            <w:shd w:val="clear" w:color="auto" w:fill="CCEEFF"/>
          </w:tcPr>
          <w:p>
            <w:pPr>
              <w:spacing w:after="0" w:line="183" w:lineRule="exact"/>
              <w:rPr>
                <w:rFonts w:ascii="Arial" w:cs="Arial" w:eastAsia="Arial" w:hAnsi="Arial"/>
                <w:sz w:val="16"/>
                <w:szCs w:val="16"/>
                <w:color w:val="0000FF"/>
                <w:w w:val="94"/>
              </w:rPr>
            </w:pPr>
            <w:hyperlink r:id="rId25">
              <w:r>
                <w:rPr>
                  <w:rFonts w:ascii="Arial" w:cs="Arial" w:eastAsia="Arial" w:hAnsi="Arial"/>
                  <w:sz w:val="16"/>
                  <w:szCs w:val="16"/>
                  <w:color w:val="0000FF"/>
                  <w:w w:val="94"/>
                </w:rPr>
                <w:t>Inc., a Delaware corporation, Atkins Nutritionals Holdings II, Inc., a Delaware corporation, NCP-ATK Holdings, Inc., a Delaware corporation and the financial</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83"/>
        </w:trPr>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60" w:type="dxa"/>
            <w:vAlign w:val="bottom"/>
            <w:gridSpan w:val="10"/>
            <w:shd w:val="clear" w:color="auto" w:fill="CCEEFF"/>
          </w:tcPr>
          <w:p>
            <w:pPr>
              <w:spacing w:after="0" w:line="183" w:lineRule="exact"/>
              <w:rPr>
                <w:rFonts w:ascii="Arial" w:cs="Arial" w:eastAsia="Arial" w:hAnsi="Arial"/>
                <w:sz w:val="16"/>
                <w:szCs w:val="16"/>
                <w:color w:val="0000FF"/>
                <w:w w:val="94"/>
              </w:rPr>
            </w:pPr>
            <w:hyperlink r:id="rId25">
              <w:r>
                <w:rPr>
                  <w:rFonts w:ascii="Arial" w:cs="Arial" w:eastAsia="Arial" w:hAnsi="Arial"/>
                  <w:sz w:val="16"/>
                  <w:szCs w:val="16"/>
                  <w:color w:val="0000FF"/>
                  <w:w w:val="94"/>
                </w:rPr>
                <w:t>institutions set forth on Schedule A thereto as Additional Term Lenders, and acknowledged by Barclays Bank PLC, as administrative agent (incorporated by</w:t>
              </w:r>
            </w:hyperlink>
          </w:p>
        </w:tc>
      </w:tr>
      <w:tr>
        <w:trPr>
          <w:trHeight w:val="183"/>
        </w:trPr>
        <w:tc>
          <w:tcPr>
            <w:tcW w:w="8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420" w:type="dxa"/>
            <w:vAlign w:val="bottom"/>
            <w:tcBorders>
              <w:top w:val="single" w:sz="8" w:color="0000FF"/>
            </w:tcBorders>
            <w:gridSpan w:val="8"/>
            <w:shd w:val="clear" w:color="auto" w:fill="CCEEFF"/>
          </w:tcPr>
          <w:p>
            <w:pPr>
              <w:spacing w:after="0" w:line="183" w:lineRule="exact"/>
              <w:rPr>
                <w:rFonts w:ascii="Arial" w:cs="Arial" w:eastAsia="Arial" w:hAnsi="Arial"/>
                <w:sz w:val="16"/>
                <w:szCs w:val="16"/>
                <w:color w:val="0000FF"/>
              </w:rPr>
            </w:pPr>
            <w:hyperlink r:id="rId25">
              <w:r>
                <w:rPr>
                  <w:rFonts w:ascii="Arial" w:cs="Arial" w:eastAsia="Arial" w:hAnsi="Arial"/>
                  <w:sz w:val="16"/>
                  <w:szCs w:val="16"/>
                  <w:color w:val="0000FF"/>
                </w:rPr>
                <w:t>reference to Exhibit 10.1 of our Current Report on Form 8-K filed on November 7, 2019).</w:t>
              </w:r>
            </w:hyperlink>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1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920" w:type="dxa"/>
            <w:vAlign w:val="bottom"/>
            <w:gridSpan w:val="2"/>
          </w:tcPr>
          <w:p>
            <w:pPr>
              <w:ind w:left="40"/>
              <w:spacing w:after="0" w:line="170" w:lineRule="exact"/>
              <w:rPr>
                <w:sz w:val="20"/>
                <w:szCs w:val="20"/>
                <w:color w:val="auto"/>
              </w:rPr>
            </w:pPr>
            <w:r>
              <w:rPr>
                <w:rFonts w:ascii="Arial" w:cs="Arial" w:eastAsia="Arial" w:hAnsi="Arial"/>
                <w:sz w:val="16"/>
                <w:szCs w:val="16"/>
                <w:color w:val="auto"/>
              </w:rPr>
              <w:t>10.2</w:t>
            </w: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10460" w:type="dxa"/>
            <w:vAlign w:val="bottom"/>
            <w:gridSpan w:val="10"/>
          </w:tcPr>
          <w:p>
            <w:pPr>
              <w:spacing w:after="0" w:line="169" w:lineRule="exact"/>
              <w:rPr>
                <w:rFonts w:ascii="Arial" w:cs="Arial" w:eastAsia="Arial" w:hAnsi="Arial"/>
                <w:sz w:val="16"/>
                <w:szCs w:val="16"/>
                <w:color w:val="0000FF"/>
                <w:w w:val="95"/>
              </w:rPr>
            </w:pPr>
            <w:hyperlink r:id="rId26">
              <w:r>
                <w:rPr>
                  <w:rFonts w:ascii="Arial" w:cs="Arial" w:eastAsia="Arial" w:hAnsi="Arial"/>
                  <w:sz w:val="16"/>
                  <w:szCs w:val="16"/>
                  <w:color w:val="0000FF"/>
                  <w:w w:val="95"/>
                </w:rPr>
                <w:t>First Amendment to Amended and Restated Employment Agreement, dated October 16, 2019, between The Simply Good Foods Company and Joseph E.</w:t>
              </w:r>
            </w:hyperlink>
          </w:p>
        </w:tc>
      </w:tr>
      <w:tr>
        <w:trPr>
          <w:trHeight w:val="183"/>
        </w:trPr>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20" w:type="dxa"/>
            <w:vAlign w:val="bottom"/>
            <w:tcBorders>
              <w:top w:val="single" w:sz="8" w:color="0000FF"/>
            </w:tcBorders>
            <w:gridSpan w:val="8"/>
          </w:tcPr>
          <w:p>
            <w:pPr>
              <w:spacing w:after="0" w:line="183" w:lineRule="exact"/>
              <w:rPr>
                <w:rFonts w:ascii="Arial" w:cs="Arial" w:eastAsia="Arial" w:hAnsi="Arial"/>
                <w:sz w:val="16"/>
                <w:szCs w:val="16"/>
                <w:color w:val="0000FF"/>
              </w:rPr>
            </w:pPr>
            <w:hyperlink r:id="rId26">
              <w:r>
                <w:rPr>
                  <w:rFonts w:ascii="Arial" w:cs="Arial" w:eastAsia="Arial" w:hAnsi="Arial"/>
                  <w:sz w:val="16"/>
                  <w:szCs w:val="16"/>
                  <w:color w:val="0000FF"/>
                </w:rPr>
                <w:t>Scalzo. (Incorporated by reference to Exhibit 10.1 to our Current Report on Form 8-K filed on October 18, 2019).</w:t>
              </w:r>
            </w:hyperlink>
          </w:p>
        </w:tc>
        <w:tc>
          <w:tcPr>
            <w:tcW w:w="40" w:type="dxa"/>
            <w:vAlign w:val="bottom"/>
            <w:gridSpan w:val="2"/>
          </w:tcPr>
          <w:p>
            <w:pPr>
              <w:spacing w:after="0"/>
              <w:rPr>
                <w:sz w:val="15"/>
                <w:szCs w:val="15"/>
                <w:color w:val="auto"/>
              </w:rPr>
            </w:pPr>
          </w:p>
        </w:tc>
      </w:tr>
      <w:tr>
        <w:trPr>
          <w:trHeight w:val="48"/>
        </w:trPr>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20" w:type="dxa"/>
            <w:vAlign w:val="bottom"/>
            <w:gridSpan w:val="2"/>
            <w:shd w:val="clear" w:color="auto" w:fill="CCEEFF"/>
          </w:tcPr>
          <w:p>
            <w:pPr>
              <w:ind w:left="40"/>
              <w:spacing w:after="0" w:line="170" w:lineRule="exact"/>
              <w:rPr>
                <w:sz w:val="20"/>
                <w:szCs w:val="20"/>
                <w:color w:val="auto"/>
              </w:rPr>
            </w:pPr>
            <w:r>
              <w:rPr>
                <w:rFonts w:ascii="Arial" w:cs="Arial" w:eastAsia="Arial" w:hAnsi="Arial"/>
                <w:sz w:val="16"/>
                <w:szCs w:val="16"/>
                <w:color w:val="auto"/>
              </w:rPr>
              <w:t>10.3</w:t>
            </w: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10460" w:type="dxa"/>
            <w:vAlign w:val="bottom"/>
            <w:gridSpan w:val="10"/>
            <w:shd w:val="clear" w:color="auto" w:fill="CCEEFF"/>
          </w:tcPr>
          <w:p>
            <w:pPr>
              <w:spacing w:after="0" w:line="169" w:lineRule="exact"/>
              <w:rPr>
                <w:rFonts w:ascii="Arial" w:cs="Arial" w:eastAsia="Arial" w:hAnsi="Arial"/>
                <w:sz w:val="16"/>
                <w:szCs w:val="16"/>
                <w:color w:val="0000FF"/>
                <w:w w:val="97"/>
              </w:rPr>
            </w:pPr>
            <w:hyperlink r:id="rId27">
              <w:r>
                <w:rPr>
                  <w:rFonts w:ascii="Arial" w:cs="Arial" w:eastAsia="Arial" w:hAnsi="Arial"/>
                  <w:sz w:val="16"/>
                  <w:szCs w:val="16"/>
                  <w:color w:val="0000FF"/>
                  <w:w w:val="97"/>
                </w:rPr>
                <w:t>Employment Agreement, dated November 5, 2019, between Quest Nutrition, LLC and David Ritterbush (incorporated by reference to Exhibit 10.2 of our</w:t>
              </w:r>
            </w:hyperlink>
          </w:p>
        </w:tc>
      </w:tr>
      <w:tr>
        <w:trPr>
          <w:trHeight w:val="230"/>
        </w:trPr>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5160" w:type="dxa"/>
            <w:vAlign w:val="bottom"/>
            <w:tcBorders>
              <w:top w:val="single" w:sz="8" w:color="0000FF"/>
              <w:bottom w:val="single" w:sz="8" w:color="0000FF"/>
            </w:tcBorders>
            <w:shd w:val="clear" w:color="auto" w:fill="CCEEFF"/>
          </w:tcPr>
          <w:p>
            <w:pPr>
              <w:spacing w:after="0" w:line="183" w:lineRule="exact"/>
              <w:rPr>
                <w:rFonts w:ascii="Arial" w:cs="Arial" w:eastAsia="Arial" w:hAnsi="Arial"/>
                <w:sz w:val="16"/>
                <w:szCs w:val="16"/>
                <w:color w:val="0000FF"/>
                <w:w w:val="93"/>
              </w:rPr>
            </w:pPr>
            <w:hyperlink r:id="rId27">
              <w:r>
                <w:rPr>
                  <w:rFonts w:ascii="Arial" w:cs="Arial" w:eastAsia="Arial" w:hAnsi="Arial"/>
                  <w:sz w:val="16"/>
                  <w:szCs w:val="16"/>
                  <w:color w:val="0000FF"/>
                  <w:w w:val="93"/>
                </w:rPr>
                <w:t>Current Report on Form 8-K (File No. 001-38115) filed on November 7, 2019).</w:t>
              </w:r>
            </w:hyperlink>
          </w:p>
        </w:tc>
        <w:tc>
          <w:tcPr>
            <w:tcW w:w="5260" w:type="dxa"/>
            <w:vAlign w:val="bottom"/>
            <w:tcBorders>
              <w:top w:val="single" w:sz="8" w:color="0000FF"/>
              <w:bottom w:val="single" w:sz="8" w:color="CCEEFF"/>
            </w:tcBorders>
            <w:gridSpan w:val="6"/>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189"/>
        </w:trPr>
        <w:tc>
          <w:tcPr>
            <w:tcW w:w="820" w:type="dxa"/>
            <w:vAlign w:val="bottom"/>
          </w:tcPr>
          <w:p>
            <w:pPr>
              <w:ind w:left="4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60" w:type="dxa"/>
            <w:vAlign w:val="bottom"/>
            <w:gridSpan w:val="10"/>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Certification of Principal Executive Officer pursuant to Section 302 of the Sarbanes Oxley Act of 2002.</w:t>
              </w:r>
            </w:hyperlink>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160" w:type="dxa"/>
            <w:vAlign w:val="bottom"/>
            <w:tcBorders>
              <w:top w:val="single" w:sz="8" w:color="0000FF"/>
            </w:tcBorders>
          </w:tcPr>
          <w:p>
            <w:pPr>
              <w:spacing w:after="0"/>
              <w:rPr>
                <w:sz w:val="5"/>
                <w:szCs w:val="5"/>
                <w:color w:val="auto"/>
              </w:rPr>
            </w:pPr>
          </w:p>
        </w:tc>
        <w:tc>
          <w:tcPr>
            <w:tcW w:w="660" w:type="dxa"/>
            <w:vAlign w:val="bottom"/>
            <w:tcBorders>
              <w:top w:val="single" w:sz="8" w:color="0000FF"/>
            </w:tcBorders>
          </w:tcPr>
          <w:p>
            <w:pPr>
              <w:spacing w:after="0"/>
              <w:rPr>
                <w:sz w:val="5"/>
                <w:szCs w:val="5"/>
                <w:color w:val="auto"/>
              </w:rPr>
            </w:pPr>
          </w:p>
        </w:tc>
        <w:tc>
          <w:tcPr>
            <w:tcW w:w="8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0" w:type="dxa"/>
            <w:vAlign w:val="bottom"/>
          </w:tcPr>
          <w:p>
            <w:pPr>
              <w:spacing w:after="0"/>
              <w:rPr>
                <w:sz w:val="5"/>
                <w:szCs w:val="5"/>
                <w:color w:val="auto"/>
              </w:rPr>
            </w:pPr>
          </w:p>
        </w:tc>
        <w:tc>
          <w:tcPr>
            <w:tcW w:w="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60" w:type="dxa"/>
            <w:vAlign w:val="bottom"/>
            <w:gridSpan w:val="10"/>
            <w:shd w:val="clear" w:color="auto" w:fill="CCEEFF"/>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Certification of Principal Financial Officer pursuant to Section 302 of the Sarbanes Oxley Act of 2002.</w:t>
              </w:r>
            </w:hyperlink>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160" w:type="dxa"/>
            <w:vAlign w:val="bottom"/>
            <w:tcBorders>
              <w:top w:val="single" w:sz="8" w:color="0000FF"/>
            </w:tcBorders>
            <w:shd w:val="clear" w:color="auto" w:fill="CCEEFF"/>
          </w:tcPr>
          <w:p>
            <w:pPr>
              <w:spacing w:after="0"/>
              <w:rPr>
                <w:sz w:val="5"/>
                <w:szCs w:val="5"/>
                <w:color w:val="auto"/>
              </w:rPr>
            </w:pPr>
          </w:p>
        </w:tc>
        <w:tc>
          <w:tcPr>
            <w:tcW w:w="660" w:type="dxa"/>
            <w:vAlign w:val="bottom"/>
            <w:tcBorders>
              <w:top w:val="single" w:sz="8" w:color="0000FF"/>
            </w:tcBorders>
            <w:shd w:val="clear" w:color="auto" w:fill="CCEEFF"/>
          </w:tcPr>
          <w:p>
            <w:pPr>
              <w:spacing w:after="0"/>
              <w:rPr>
                <w:sz w:val="5"/>
                <w:szCs w:val="5"/>
                <w:color w:val="auto"/>
              </w:rPr>
            </w:pPr>
          </w:p>
        </w:tc>
        <w:tc>
          <w:tcPr>
            <w:tcW w:w="84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0" w:type="dxa"/>
            <w:vAlign w:val="bottom"/>
            <w:tcBorders>
              <w:top w:val="single" w:sz="8" w:color="CCEEFF"/>
            </w:tcBorders>
            <w:shd w:val="clear" w:color="auto" w:fill="CCEEFF"/>
          </w:tcPr>
          <w:p>
            <w:pPr>
              <w:spacing w:after="0"/>
              <w:rPr>
                <w:sz w:val="5"/>
                <w:szCs w:val="5"/>
                <w:color w:val="auto"/>
              </w:rPr>
            </w:pPr>
          </w:p>
        </w:tc>
        <w:tc>
          <w:tcPr>
            <w:tcW w:w="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89"/>
        </w:trPr>
        <w:tc>
          <w:tcPr>
            <w:tcW w:w="820" w:type="dxa"/>
            <w:vAlign w:val="bottom"/>
          </w:tcPr>
          <w:p>
            <w:pPr>
              <w:ind w:left="4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60" w:type="dxa"/>
            <w:vAlign w:val="bottom"/>
            <w:gridSpan w:val="10"/>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Certification of Principal Executive Officer and Principal Financial Officer pursuant to Section 906 of the Sarbanes Oxley Act.</w:t>
              </w:r>
            </w:hyperlink>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160" w:type="dxa"/>
            <w:vAlign w:val="bottom"/>
            <w:tcBorders>
              <w:top w:val="single" w:sz="8" w:color="0000FF"/>
            </w:tcBorders>
          </w:tcPr>
          <w:p>
            <w:pPr>
              <w:spacing w:after="0"/>
              <w:rPr>
                <w:sz w:val="5"/>
                <w:szCs w:val="5"/>
                <w:color w:val="auto"/>
              </w:rPr>
            </w:pPr>
          </w:p>
        </w:tc>
        <w:tc>
          <w:tcPr>
            <w:tcW w:w="660" w:type="dxa"/>
            <w:vAlign w:val="bottom"/>
            <w:tcBorders>
              <w:top w:val="single" w:sz="8" w:color="0000FF"/>
            </w:tcBorders>
          </w:tcPr>
          <w:p>
            <w:pPr>
              <w:spacing w:after="0"/>
              <w:rPr>
                <w:sz w:val="5"/>
                <w:szCs w:val="5"/>
                <w:color w:val="auto"/>
              </w:rPr>
            </w:pPr>
          </w:p>
        </w:tc>
        <w:tc>
          <w:tcPr>
            <w:tcW w:w="8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660" w:type="dxa"/>
            <w:vAlign w:val="bottom"/>
            <w:tcBorders>
              <w:top w:val="single" w:sz="8" w:color="0000FF"/>
            </w:tcBorders>
          </w:tcPr>
          <w:p>
            <w:pPr>
              <w:spacing w:after="0"/>
              <w:rPr>
                <w:sz w:val="5"/>
                <w:szCs w:val="5"/>
                <w:color w:val="auto"/>
              </w:rPr>
            </w:pPr>
          </w:p>
        </w:tc>
        <w:tc>
          <w:tcPr>
            <w:tcW w:w="840" w:type="dxa"/>
            <w:vAlign w:val="bottom"/>
            <w:tcBorders>
              <w:top w:val="single" w:sz="8" w:color="0000FF"/>
            </w:tcBorders>
          </w:tcPr>
          <w:p>
            <w:pPr>
              <w:spacing w:after="0"/>
              <w:rPr>
                <w:sz w:val="5"/>
                <w:szCs w:val="5"/>
                <w:color w:val="auto"/>
              </w:rPr>
            </w:pPr>
          </w:p>
        </w:tc>
        <w:tc>
          <w:tcPr>
            <w:tcW w:w="2200" w:type="dxa"/>
            <w:vAlign w:val="bottom"/>
          </w:tcPr>
          <w:p>
            <w:pPr>
              <w:spacing w:after="0"/>
              <w:rPr>
                <w:sz w:val="5"/>
                <w:szCs w:val="5"/>
                <w:color w:val="auto"/>
              </w:rPr>
            </w:pPr>
          </w:p>
        </w:tc>
        <w:tc>
          <w:tcPr>
            <w:tcW w:w="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101.INS</w:t>
            </w:r>
          </w:p>
        </w:tc>
        <w:tc>
          <w:tcPr>
            <w:tcW w:w="40" w:type="dxa"/>
            <w:vAlign w:val="bottom"/>
            <w:tcBorders>
              <w:bottom w:val="single" w:sz="8" w:color="CCEEFF"/>
            </w:tcBorders>
            <w:shd w:val="clear" w:color="auto" w:fill="CCEEFF"/>
          </w:tcPr>
          <w:p>
            <w:pPr>
              <w:spacing w:after="0"/>
              <w:rPr>
                <w:sz w:val="21"/>
                <w:szCs w:val="21"/>
                <w:color w:val="auto"/>
              </w:rPr>
            </w:pPr>
          </w:p>
        </w:tc>
        <w:tc>
          <w:tcPr>
            <w:tcW w:w="1046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6"/>
                <w:szCs w:val="16"/>
                <w:color w:val="auto"/>
              </w:rPr>
              <w:t>XBRL Instance Document</w:t>
            </w:r>
          </w:p>
        </w:tc>
      </w:tr>
      <w:tr>
        <w:trPr>
          <w:trHeight w:val="224"/>
        </w:trPr>
        <w:tc>
          <w:tcPr>
            <w:tcW w:w="92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40" w:type="dxa"/>
            <w:vAlign w:val="bottom"/>
          </w:tcPr>
          <w:p>
            <w:pPr>
              <w:spacing w:after="0"/>
              <w:rPr>
                <w:sz w:val="19"/>
                <w:szCs w:val="19"/>
                <w:color w:val="auto"/>
              </w:rPr>
            </w:pPr>
          </w:p>
        </w:tc>
        <w:tc>
          <w:tcPr>
            <w:tcW w:w="10460" w:type="dxa"/>
            <w:vAlign w:val="bottom"/>
            <w:gridSpan w:val="10"/>
          </w:tcPr>
          <w:p>
            <w:pPr>
              <w:spacing w:after="0"/>
              <w:rPr>
                <w:sz w:val="20"/>
                <w:szCs w:val="20"/>
                <w:color w:val="auto"/>
              </w:rPr>
            </w:pPr>
            <w:r>
              <w:rPr>
                <w:rFonts w:ascii="Arial" w:cs="Arial" w:eastAsia="Arial" w:hAnsi="Arial"/>
                <w:sz w:val="16"/>
                <w:szCs w:val="16"/>
                <w:color w:val="auto"/>
              </w:rPr>
              <w:t>XBRL Taxonomy Extension Schema Document</w:t>
            </w:r>
          </w:p>
        </w:tc>
      </w:tr>
      <w:tr>
        <w:trPr>
          <w:trHeight w:val="47"/>
        </w:trPr>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101.CAL</w:t>
            </w:r>
          </w:p>
        </w:tc>
        <w:tc>
          <w:tcPr>
            <w:tcW w:w="40" w:type="dxa"/>
            <w:vAlign w:val="bottom"/>
            <w:tcBorders>
              <w:bottom w:val="single" w:sz="8" w:color="CCEEFF"/>
            </w:tcBorders>
            <w:shd w:val="clear" w:color="auto" w:fill="CCEEFF"/>
          </w:tcPr>
          <w:p>
            <w:pPr>
              <w:spacing w:after="0"/>
              <w:rPr>
                <w:sz w:val="21"/>
                <w:szCs w:val="21"/>
                <w:color w:val="auto"/>
              </w:rPr>
            </w:pPr>
          </w:p>
        </w:tc>
        <w:tc>
          <w:tcPr>
            <w:tcW w:w="1046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24"/>
        </w:trPr>
        <w:tc>
          <w:tcPr>
            <w:tcW w:w="92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40" w:type="dxa"/>
            <w:vAlign w:val="bottom"/>
          </w:tcPr>
          <w:p>
            <w:pPr>
              <w:spacing w:after="0"/>
              <w:rPr>
                <w:sz w:val="19"/>
                <w:szCs w:val="19"/>
                <w:color w:val="auto"/>
              </w:rPr>
            </w:pPr>
          </w:p>
        </w:tc>
        <w:tc>
          <w:tcPr>
            <w:tcW w:w="10460" w:type="dxa"/>
            <w:vAlign w:val="bottom"/>
            <w:gridSpan w:val="10"/>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47"/>
        </w:trPr>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101.LAB</w:t>
            </w:r>
          </w:p>
        </w:tc>
        <w:tc>
          <w:tcPr>
            <w:tcW w:w="40" w:type="dxa"/>
            <w:vAlign w:val="bottom"/>
            <w:tcBorders>
              <w:bottom w:val="single" w:sz="8" w:color="CCEEFF"/>
            </w:tcBorders>
            <w:shd w:val="clear" w:color="auto" w:fill="CCEEFF"/>
          </w:tcPr>
          <w:p>
            <w:pPr>
              <w:spacing w:after="0"/>
              <w:rPr>
                <w:sz w:val="21"/>
                <w:szCs w:val="21"/>
                <w:color w:val="auto"/>
              </w:rPr>
            </w:pPr>
          </w:p>
        </w:tc>
        <w:tc>
          <w:tcPr>
            <w:tcW w:w="1046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24"/>
        </w:trPr>
        <w:tc>
          <w:tcPr>
            <w:tcW w:w="92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40" w:type="dxa"/>
            <w:vAlign w:val="bottom"/>
          </w:tcPr>
          <w:p>
            <w:pPr>
              <w:spacing w:after="0"/>
              <w:rPr>
                <w:sz w:val="19"/>
                <w:szCs w:val="19"/>
                <w:color w:val="auto"/>
              </w:rPr>
            </w:pPr>
          </w:p>
        </w:tc>
        <w:tc>
          <w:tcPr>
            <w:tcW w:w="10460" w:type="dxa"/>
            <w:vAlign w:val="bottom"/>
            <w:gridSpan w:val="10"/>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960" w:hanging="925"/>
        <w:spacing w:after="0"/>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and contained in Exhibit 101).</w:t>
      </w:r>
    </w:p>
    <w:p>
      <w:pPr>
        <w:spacing w:after="0" w:line="54" w:lineRule="exact"/>
        <w:rPr>
          <w:rFonts w:ascii="Arial" w:cs="Arial" w:eastAsia="Arial" w:hAnsi="Arial"/>
          <w:sz w:val="16"/>
          <w:szCs w:val="16"/>
          <w:color w:val="auto"/>
        </w:rPr>
      </w:pPr>
    </w:p>
    <w:p>
      <w:pPr>
        <w:ind w:left="140" w:hanging="132"/>
        <w:spacing w:after="0"/>
        <w:tabs>
          <w:tab w:leader="none" w:pos="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THE SIMPLY GOOD FOODS COMPANY</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By: /s/ Timothy A.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34925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3" w:lineRule="exact"/>
        <w:rPr>
          <w:sz w:val="20"/>
          <w:szCs w:val="20"/>
          <w:color w:val="auto"/>
        </w:rPr>
      </w:pPr>
    </w:p>
    <w:p>
      <w:pPr>
        <w:ind w:left="1760"/>
        <w:spacing w:after="0"/>
        <w:tabs>
          <w:tab w:leader="none" w:pos="2300" w:val="left"/>
          <w:tab w:leader="none" w:pos="4660" w:val="left"/>
        </w:tabs>
        <w:rPr>
          <w:sz w:val="20"/>
          <w:szCs w:val="20"/>
          <w:color w:val="auto"/>
        </w:rPr>
      </w:pPr>
      <w:r>
        <w:rPr>
          <w:rFonts w:ascii="Arial" w:cs="Arial" w:eastAsia="Arial" w:hAnsi="Arial"/>
          <w:sz w:val="16"/>
          <w:szCs w:val="16"/>
          <w:color w:val="auto"/>
        </w:rPr>
        <w:t>Date:</w:t>
        <w:tab/>
        <w:t>January 9, 2020</w:t>
      </w:r>
      <w:r>
        <w:rPr>
          <w:sz w:val="20"/>
          <w:szCs w:val="20"/>
          <w:color w:val="auto"/>
        </w:rPr>
        <w:tab/>
      </w:r>
      <w:r>
        <w:rPr>
          <w:rFonts w:ascii="Arial" w:cs="Arial" w:eastAsia="Arial" w:hAnsi="Arial"/>
          <w:sz w:val="15"/>
          <w:szCs w:val="15"/>
          <w:color w:val="auto"/>
        </w:rPr>
        <w:t>Name: Timothy A. Matthews</w:t>
      </w:r>
    </w:p>
    <w:p>
      <w:pPr>
        <w:spacing w:after="0" w:line="86"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Title: Vice President, Controller, and Chief Accounting Officer</w:t>
      </w:r>
    </w:p>
    <w:p>
      <w:pPr>
        <w:spacing w:after="0" w:line="86" w:lineRule="exact"/>
        <w:rPr>
          <w:sz w:val="20"/>
          <w:szCs w:val="20"/>
          <w:color w:val="auto"/>
        </w:rPr>
      </w:pPr>
    </w:p>
    <w:p>
      <w:pPr>
        <w:ind w:left="5160"/>
        <w:spacing w:after="0"/>
        <w:rPr>
          <w:sz w:val="20"/>
          <w:szCs w:val="20"/>
          <w:color w:val="auto"/>
        </w:rPr>
      </w:pPr>
      <w:r>
        <w:rPr>
          <w:rFonts w:ascii="Arial" w:cs="Arial" w:eastAsia="Arial" w:hAnsi="Arial"/>
          <w:sz w:val="16"/>
          <w:szCs w:val="16"/>
          <w:i w:val="1"/>
          <w:iCs w:val="1"/>
          <w:color w:val="auto"/>
        </w:rPr>
        <w:t>(Principal Accounting Officer)</w:t>
      </w: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20"/>
          </w:cols>
          <w:pgMar w:left="240" w:top="125" w:right="9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E. Scalzo, certify that:</w:t>
      </w:r>
    </w:p>
    <w:p>
      <w:pPr>
        <w:spacing w:after="0" w:line="225" w:lineRule="exact"/>
        <w:rPr>
          <w:sz w:val="20"/>
          <w:szCs w:val="20"/>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Simply Good Foods Company (the "registrant");</w:t>
      </w:r>
    </w:p>
    <w:p>
      <w:pPr>
        <w:spacing w:after="0" w:line="225" w:lineRule="exact"/>
        <w:rPr>
          <w:rFonts w:ascii="Arial" w:cs="Arial" w:eastAsia="Arial" w:hAnsi="Arial"/>
          <w:sz w:val="18"/>
          <w:szCs w:val="18"/>
          <w:color w:val="auto"/>
        </w:rPr>
      </w:pPr>
    </w:p>
    <w:p>
      <w:pPr>
        <w:ind w:right="20" w:firstLine="656"/>
        <w:spacing w:after="0" w:line="342" w:lineRule="auto"/>
        <w:tabs>
          <w:tab w:leader="none" w:pos="877"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firstLine="5"/>
        <w:spacing w:after="0" w:line="264" w:lineRule="auto"/>
        <w:tabs>
          <w:tab w:leader="none" w:pos="192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firstLine="5"/>
        <w:spacing w:after="0" w:line="264" w:lineRule="auto"/>
        <w:tabs>
          <w:tab w:leader="none" w:pos="17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firstLine="5"/>
        <w:spacing w:after="0" w:line="342" w:lineRule="auto"/>
        <w:tabs>
          <w:tab w:leader="none" w:pos="1826"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firstLine="5"/>
        <w:spacing w:after="0" w:line="264" w:lineRule="auto"/>
        <w:tabs>
          <w:tab w:leader="none" w:pos="1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656"/>
        <w:spacing w:after="0" w:line="308" w:lineRule="auto"/>
        <w:tabs>
          <w:tab w:leader="none" w:pos="88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5"/>
        <w:spacing w:after="0" w:line="308" w:lineRule="auto"/>
        <w:tabs>
          <w:tab w:leader="none" w:pos="1815"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5"/>
        <w:spacing w:after="0" w:line="277" w:lineRule="auto"/>
        <w:tabs>
          <w:tab w:leader="none" w:pos="185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2160" w:type="dxa"/>
            <w:vAlign w:val="bottom"/>
          </w:tcPr>
          <w:p>
            <w:pPr>
              <w:spacing w:after="0"/>
              <w:rPr>
                <w:sz w:val="20"/>
                <w:szCs w:val="20"/>
                <w:color w:val="auto"/>
              </w:rPr>
            </w:pPr>
            <w:r>
              <w:rPr>
                <w:rFonts w:ascii="Arial" w:cs="Arial" w:eastAsia="Arial" w:hAnsi="Arial"/>
                <w:sz w:val="16"/>
                <w:szCs w:val="16"/>
                <w:color w:val="auto"/>
              </w:rPr>
              <w:t>Date: January 9, 2020  By:</w:t>
            </w:r>
          </w:p>
        </w:tc>
        <w:tc>
          <w:tcPr>
            <w:tcW w:w="3620" w:type="dxa"/>
            <w:vAlign w:val="bottom"/>
          </w:tcPr>
          <w:p>
            <w:pPr>
              <w:ind w:left="2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2160" w:type="dxa"/>
            <w:vAlign w:val="bottom"/>
            <w:vMerge w:val="restart"/>
          </w:tcPr>
          <w:p>
            <w:pPr>
              <w:ind w:left="1560"/>
              <w:spacing w:after="0"/>
              <w:rPr>
                <w:sz w:val="20"/>
                <w:szCs w:val="20"/>
                <w:color w:val="auto"/>
              </w:rPr>
            </w:pPr>
            <w:r>
              <w:rPr>
                <w:rFonts w:ascii="Arial" w:cs="Arial" w:eastAsia="Arial" w:hAnsi="Arial"/>
                <w:sz w:val="16"/>
                <w:szCs w:val="16"/>
                <w:color w:val="auto"/>
              </w:rPr>
              <w:t>Name:</w:t>
            </w:r>
          </w:p>
        </w:tc>
        <w:tc>
          <w:tcPr>
            <w:tcW w:w="3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160" w:type="dxa"/>
            <w:vAlign w:val="bottom"/>
            <w:vMerge w:val="continue"/>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7"/>
        </w:trPr>
        <w:tc>
          <w:tcPr>
            <w:tcW w:w="2160" w:type="dxa"/>
            <w:vAlign w:val="bottom"/>
          </w:tcPr>
          <w:p>
            <w:pPr>
              <w:ind w:left="1560"/>
              <w:spacing w:after="0"/>
              <w:rPr>
                <w:sz w:val="20"/>
                <w:szCs w:val="20"/>
                <w:color w:val="auto"/>
              </w:rPr>
            </w:pPr>
            <w:r>
              <w:rPr>
                <w:rFonts w:ascii="Arial" w:cs="Arial" w:eastAsia="Arial" w:hAnsi="Arial"/>
                <w:sz w:val="16"/>
                <w:szCs w:val="16"/>
                <w:color w:val="auto"/>
              </w:rPr>
              <w:t>Title:</w:t>
            </w:r>
          </w:p>
        </w:tc>
        <w:tc>
          <w:tcPr>
            <w:tcW w:w="362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Todd E. Cunfer, certify that:</w:t>
      </w:r>
    </w:p>
    <w:p>
      <w:pPr>
        <w:spacing w:after="0" w:line="225" w:lineRule="exact"/>
        <w:rPr>
          <w:sz w:val="20"/>
          <w:szCs w:val="20"/>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Simply Good Foods Company (the "registrant");</w:t>
      </w:r>
    </w:p>
    <w:p>
      <w:pPr>
        <w:spacing w:after="0" w:line="225" w:lineRule="exact"/>
        <w:rPr>
          <w:rFonts w:ascii="Arial" w:cs="Arial" w:eastAsia="Arial" w:hAnsi="Arial"/>
          <w:sz w:val="18"/>
          <w:szCs w:val="18"/>
          <w:color w:val="auto"/>
        </w:rPr>
      </w:pPr>
    </w:p>
    <w:p>
      <w:pPr>
        <w:ind w:right="20" w:firstLine="656"/>
        <w:spacing w:after="0" w:line="342" w:lineRule="auto"/>
        <w:tabs>
          <w:tab w:leader="none" w:pos="877"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firstLine="5"/>
        <w:spacing w:after="0" w:line="264" w:lineRule="auto"/>
        <w:tabs>
          <w:tab w:leader="none" w:pos="192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firstLine="5"/>
        <w:spacing w:after="0" w:line="264" w:lineRule="auto"/>
        <w:tabs>
          <w:tab w:leader="none" w:pos="177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firstLine="5"/>
        <w:spacing w:after="0" w:line="342" w:lineRule="auto"/>
        <w:tabs>
          <w:tab w:leader="none" w:pos="1826"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firstLine="5"/>
        <w:spacing w:after="0" w:line="264" w:lineRule="auto"/>
        <w:tabs>
          <w:tab w:leader="none" w:pos="1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656"/>
        <w:spacing w:after="0" w:line="308" w:lineRule="auto"/>
        <w:tabs>
          <w:tab w:leader="none" w:pos="889"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5"/>
        <w:spacing w:after="0" w:line="308" w:lineRule="auto"/>
        <w:tabs>
          <w:tab w:leader="none" w:pos="1815"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5"/>
        <w:spacing w:after="0" w:line="277" w:lineRule="auto"/>
        <w:tabs>
          <w:tab w:leader="none" w:pos="185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2160" w:type="dxa"/>
            <w:vAlign w:val="bottom"/>
          </w:tcPr>
          <w:p>
            <w:pPr>
              <w:spacing w:after="0"/>
              <w:rPr>
                <w:sz w:val="20"/>
                <w:szCs w:val="20"/>
                <w:color w:val="auto"/>
              </w:rPr>
            </w:pPr>
            <w:r>
              <w:rPr>
                <w:rFonts w:ascii="Arial" w:cs="Arial" w:eastAsia="Arial" w:hAnsi="Arial"/>
                <w:sz w:val="16"/>
                <w:szCs w:val="16"/>
                <w:color w:val="auto"/>
              </w:rPr>
              <w:t>Date: January 9, 2020  By:</w:t>
            </w:r>
          </w:p>
        </w:tc>
        <w:tc>
          <w:tcPr>
            <w:tcW w:w="3620" w:type="dxa"/>
            <w:vAlign w:val="bottom"/>
          </w:tcPr>
          <w:p>
            <w:pPr>
              <w:ind w:left="2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33"/>
        </w:trPr>
        <w:tc>
          <w:tcPr>
            <w:tcW w:w="2160" w:type="dxa"/>
            <w:vAlign w:val="bottom"/>
            <w:vMerge w:val="restart"/>
          </w:tcPr>
          <w:p>
            <w:pPr>
              <w:ind w:left="1560"/>
              <w:spacing w:after="0"/>
              <w:rPr>
                <w:sz w:val="20"/>
                <w:szCs w:val="20"/>
                <w:color w:val="auto"/>
              </w:rPr>
            </w:pPr>
            <w:r>
              <w:rPr>
                <w:rFonts w:ascii="Arial" w:cs="Arial" w:eastAsia="Arial" w:hAnsi="Arial"/>
                <w:sz w:val="16"/>
                <w:szCs w:val="16"/>
                <w:color w:val="auto"/>
              </w:rPr>
              <w:t>Name:</w:t>
            </w: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160" w:type="dxa"/>
            <w:vAlign w:val="bottom"/>
            <w:vMerge w:val="continue"/>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257"/>
        </w:trPr>
        <w:tc>
          <w:tcPr>
            <w:tcW w:w="2160" w:type="dxa"/>
            <w:vAlign w:val="bottom"/>
          </w:tcPr>
          <w:p>
            <w:pPr>
              <w:ind w:left="1560"/>
              <w:spacing w:after="0"/>
              <w:rPr>
                <w:sz w:val="20"/>
                <w:szCs w:val="20"/>
                <w:color w:val="auto"/>
              </w:rPr>
            </w:pPr>
            <w:r>
              <w:rPr>
                <w:rFonts w:ascii="Arial" w:cs="Arial" w:eastAsia="Arial" w:hAnsi="Arial"/>
                <w:sz w:val="16"/>
                <w:szCs w:val="16"/>
                <w:color w:val="auto"/>
              </w:rPr>
              <w:t>Title:</w:t>
            </w:r>
          </w:p>
        </w:tc>
        <w:tc>
          <w:tcPr>
            <w:tcW w:w="362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the Quarterly Report of The Simply Good Foods Company (the “Company”) on Form 10-Q for the fiscal period ended November 30, 2019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147" w:lineRule="exact"/>
        <w:rPr>
          <w:sz w:val="20"/>
          <w:szCs w:val="20"/>
          <w:color w:val="auto"/>
        </w:rPr>
      </w:pPr>
    </w:p>
    <w:p>
      <w:pPr>
        <w:ind w:left="840" w:hanging="18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firstLine="656"/>
        <w:spacing w:after="0" w:line="277" w:lineRule="auto"/>
        <w:tabs>
          <w:tab w:leader="none" w:pos="8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covered by the Report.</w:t>
      </w:r>
    </w:p>
    <w:p>
      <w:pPr>
        <w:spacing w:after="0" w:line="3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certificate is being furnished solely for the purposes of 18 U.S.C. Section 1350 and is not being filed as part of the Report or as a separate disclosure document.</w:t>
      </w:r>
    </w:p>
    <w:p>
      <w:pPr>
        <w:spacing w:after="0" w:line="337"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1500" w:type="dxa"/>
            <w:vAlign w:val="bottom"/>
          </w:tcPr>
          <w:p>
            <w:pPr>
              <w:spacing w:after="0"/>
              <w:rPr>
                <w:sz w:val="20"/>
                <w:szCs w:val="20"/>
                <w:color w:val="auto"/>
              </w:rPr>
            </w:pPr>
            <w:r>
              <w:rPr>
                <w:rFonts w:ascii="Arial" w:cs="Arial" w:eastAsia="Arial" w:hAnsi="Arial"/>
                <w:sz w:val="16"/>
                <w:szCs w:val="16"/>
                <w:color w:val="auto"/>
                <w:w w:val="93"/>
              </w:rPr>
              <w:t>Date: January 9, 2020</w:t>
            </w:r>
          </w:p>
        </w:tc>
        <w:tc>
          <w:tcPr>
            <w:tcW w:w="660" w:type="dxa"/>
            <w:vAlign w:val="bottom"/>
          </w:tcPr>
          <w:p>
            <w:pPr>
              <w:ind w:left="60"/>
              <w:spacing w:after="0"/>
              <w:rPr>
                <w:sz w:val="20"/>
                <w:szCs w:val="20"/>
                <w:color w:val="auto"/>
              </w:rPr>
            </w:pPr>
            <w:r>
              <w:rPr>
                <w:rFonts w:ascii="Arial" w:cs="Arial" w:eastAsia="Arial" w:hAnsi="Arial"/>
                <w:sz w:val="16"/>
                <w:szCs w:val="16"/>
                <w:color w:val="auto"/>
              </w:rPr>
              <w:t>By:</w:t>
            </w:r>
          </w:p>
        </w:tc>
        <w:tc>
          <w:tcPr>
            <w:tcW w:w="3620" w:type="dxa"/>
            <w:vAlign w:val="bottom"/>
          </w:tcPr>
          <w:p>
            <w:pPr>
              <w:ind w:left="2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1500" w:type="dxa"/>
            <w:vAlign w:val="bottom"/>
          </w:tcPr>
          <w:p>
            <w:pPr>
              <w:spacing w:after="0"/>
              <w:rPr>
                <w:sz w:val="14"/>
                <w:szCs w:val="14"/>
                <w:color w:val="auto"/>
              </w:rPr>
            </w:pPr>
          </w:p>
        </w:tc>
        <w:tc>
          <w:tcPr>
            <w:tcW w:w="660" w:type="dxa"/>
            <w:vAlign w:val="bottom"/>
            <w:vMerge w:val="restart"/>
          </w:tcPr>
          <w:p>
            <w:pPr>
              <w:ind w:left="60"/>
              <w:spacing w:after="0"/>
              <w:rPr>
                <w:sz w:val="20"/>
                <w:szCs w:val="20"/>
                <w:color w:val="auto"/>
              </w:rPr>
            </w:pPr>
            <w:r>
              <w:rPr>
                <w:rFonts w:ascii="Arial" w:cs="Arial" w:eastAsia="Arial" w:hAnsi="Arial"/>
                <w:sz w:val="16"/>
                <w:szCs w:val="16"/>
                <w:color w:val="auto"/>
              </w:rPr>
              <w:t>Name:</w:t>
            </w:r>
          </w:p>
        </w:tc>
        <w:tc>
          <w:tcPr>
            <w:tcW w:w="3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6"/>
                <w:szCs w:val="16"/>
                <w:color w:val="auto"/>
              </w:rPr>
              <w:t>Title:</w:t>
            </w:r>
          </w:p>
        </w:tc>
        <w:tc>
          <w:tcPr>
            <w:tcW w:w="362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r>
        <w:trPr>
          <w:trHeight w:val="594"/>
        </w:trPr>
        <w:tc>
          <w:tcPr>
            <w:tcW w:w="1500" w:type="dxa"/>
            <w:vAlign w:val="bottom"/>
          </w:tcPr>
          <w:p>
            <w:pPr>
              <w:spacing w:after="0"/>
              <w:rPr>
                <w:sz w:val="20"/>
                <w:szCs w:val="20"/>
                <w:color w:val="auto"/>
              </w:rPr>
            </w:pPr>
            <w:r>
              <w:rPr>
                <w:rFonts w:ascii="Arial" w:cs="Arial" w:eastAsia="Arial" w:hAnsi="Arial"/>
                <w:sz w:val="16"/>
                <w:szCs w:val="16"/>
                <w:color w:val="auto"/>
                <w:w w:val="93"/>
              </w:rPr>
              <w:t>Date: January 9, 2020</w:t>
            </w:r>
          </w:p>
        </w:tc>
        <w:tc>
          <w:tcPr>
            <w:tcW w:w="660" w:type="dxa"/>
            <w:vAlign w:val="bottom"/>
          </w:tcPr>
          <w:p>
            <w:pPr>
              <w:ind w:left="60"/>
              <w:spacing w:after="0"/>
              <w:rPr>
                <w:sz w:val="20"/>
                <w:szCs w:val="20"/>
                <w:color w:val="auto"/>
              </w:rPr>
            </w:pPr>
            <w:r>
              <w:rPr>
                <w:rFonts w:ascii="Arial" w:cs="Arial" w:eastAsia="Arial" w:hAnsi="Arial"/>
                <w:sz w:val="16"/>
                <w:szCs w:val="16"/>
                <w:color w:val="auto"/>
              </w:rPr>
              <w:t>By:</w:t>
            </w:r>
          </w:p>
        </w:tc>
        <w:tc>
          <w:tcPr>
            <w:tcW w:w="3620" w:type="dxa"/>
            <w:vAlign w:val="bottom"/>
          </w:tcPr>
          <w:p>
            <w:pPr>
              <w:ind w:left="2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660" w:type="dxa"/>
            <w:vAlign w:val="bottom"/>
            <w:vMerge w:val="restart"/>
          </w:tcPr>
          <w:p>
            <w:pPr>
              <w:ind w:left="60"/>
              <w:spacing w:after="0"/>
              <w:rPr>
                <w:sz w:val="20"/>
                <w:szCs w:val="20"/>
                <w:color w:val="auto"/>
              </w:rPr>
            </w:pPr>
            <w:r>
              <w:rPr>
                <w:rFonts w:ascii="Arial" w:cs="Arial" w:eastAsia="Arial" w:hAnsi="Arial"/>
                <w:sz w:val="16"/>
                <w:szCs w:val="16"/>
                <w:color w:val="auto"/>
              </w:rPr>
              <w:t>Name:</w:t>
            </w: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6"/>
                <w:szCs w:val="16"/>
                <w:color w:val="auto"/>
              </w:rPr>
              <w:t>Title:</w:t>
            </w:r>
          </w:p>
        </w:tc>
        <w:tc>
          <w:tcPr>
            <w:tcW w:w="362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Roman"/>
      <w:start w:val="10"/>
    </w:lvl>
  </w:abstractNum>
  <w:abstractNum w:abstractNumId="11">
    <w:nsid w:val="109CF92E"/>
    <w:multiLevelType w:val="hybridMultilevel"/>
    <w:lvl w:ilvl="0">
      <w:lvlJc w:val="left"/>
      <w:lvlText w:val="†"/>
      <w:numFmt w:val="bullet"/>
      <w:start w:val="1"/>
    </w:lvl>
    <w:lvl w:ilvl="1">
      <w:lvlJc w:val="left"/>
      <w:lvlText w:val="%2"/>
      <w:numFmt w:val="decimal"/>
      <w:start w:val="10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25" Type="http://schemas.openxmlformats.org/officeDocument/2006/relationships/hyperlink" Target="http://www.sec.gov/Archives/edgar/data/1702744/000110465919060856/a19-22146_1ex10d1.htm" TargetMode="External"/><Relationship Id="rId26" Type="http://schemas.openxmlformats.org/officeDocument/2006/relationships/hyperlink" Target="http://www.sec.gov/Archives/edgar/data/1702744/000170274419000044/smpl_exhibitx101.htm" TargetMode="External"/><Relationship Id="rId27" Type="http://schemas.openxmlformats.org/officeDocument/2006/relationships/hyperlink" Target="http://www.sec.gov/Archives/edgar/data/1702744/000110465919060856/a19-22146_1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2020-01-09T15:18:20Z</dcterms:created>
  <dcterms:modified xsi:type="dcterms:W3CDTF">2020-01-09T15:18:20Z</dcterms:modified>
</cp:coreProperties>
</file>